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0034A7" w:rsidP="004F5F4B">
      <w:pPr>
        <w:tabs>
          <w:tab w:val="left" w:pos="870"/>
          <w:tab w:val="center" w:pos="5033"/>
        </w:tabs>
        <w:rPr>
          <w:rFonts w:ascii="Arial Black" w:hAnsi="Arial Black" w:cs="Arial"/>
          <w:i/>
          <w:sz w:val="132"/>
          <w:szCs w:val="132"/>
        </w:rPr>
      </w:pPr>
      <w:r w:rsidRPr="000034A7">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7E3722" w:rsidP="005E5CC6">
                  <w:pPr>
                    <w:jc w:val="center"/>
                    <w:rPr>
                      <w:rFonts w:ascii="Arial Black" w:hAnsi="Arial Black" w:cs="Arial"/>
                      <w:i/>
                      <w:sz w:val="56"/>
                      <w:szCs w:val="56"/>
                    </w:rPr>
                  </w:pPr>
                  <w:r>
                    <w:rPr>
                      <w:rFonts w:ascii="Arial Black" w:hAnsi="Arial Black" w:cs="Arial"/>
                      <w:i/>
                      <w:sz w:val="56"/>
                      <w:szCs w:val="56"/>
                    </w:rPr>
                    <w:t>№11</w:t>
                  </w:r>
                </w:p>
                <w:p w:rsidR="0021663D" w:rsidRDefault="007E3722" w:rsidP="004F5F4B">
                  <w:pPr>
                    <w:jc w:val="center"/>
                    <w:rPr>
                      <w:rFonts w:ascii="Arial Black" w:hAnsi="Arial Black" w:cs="Arial"/>
                      <w:i/>
                      <w:sz w:val="56"/>
                      <w:szCs w:val="56"/>
                    </w:rPr>
                  </w:pPr>
                  <w:r>
                    <w:rPr>
                      <w:rFonts w:ascii="Arial Black" w:hAnsi="Arial Black" w:cs="Arial"/>
                      <w:i/>
                      <w:sz w:val="56"/>
                      <w:szCs w:val="56"/>
                    </w:rPr>
                    <w:t>30 октября</w:t>
                  </w:r>
                  <w:r w:rsidR="0021663D">
                    <w:rPr>
                      <w:rFonts w:ascii="Arial Black" w:hAnsi="Arial Black" w:cs="Arial"/>
                      <w:i/>
                      <w:sz w:val="56"/>
                      <w:szCs w:val="56"/>
                    </w:rPr>
                    <w:t xml:space="preserve"> 2015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0034A7" w:rsidP="004F5F4B">
      <w:pPr>
        <w:jc w:val="center"/>
        <w:rPr>
          <w:sz w:val="40"/>
          <w:szCs w:val="40"/>
        </w:rPr>
      </w:pPr>
      <w:r w:rsidRPr="000034A7">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0034A7" w:rsidP="005F53EF">
      <w:pPr>
        <w:keepNext/>
        <w:jc w:val="center"/>
        <w:outlineLvl w:val="2"/>
        <w:rPr>
          <w:b/>
          <w:spacing w:val="30"/>
          <w:sz w:val="22"/>
          <w:szCs w:val="22"/>
        </w:rPr>
      </w:pPr>
      <w:r w:rsidRPr="000034A7">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371BA7" w:rsidRDefault="00371BA7" w:rsidP="00371BA7">
      <w:pPr>
        <w:keepNext/>
        <w:jc w:val="center"/>
        <w:outlineLvl w:val="2"/>
        <w:rPr>
          <w:b/>
          <w:spacing w:val="30"/>
        </w:rPr>
      </w:pPr>
    </w:p>
    <w:p w:rsidR="00AC4AF2" w:rsidRPr="00515964" w:rsidRDefault="00AC4AF2" w:rsidP="00AC4AF2">
      <w:pPr>
        <w:jc w:val="center"/>
        <w:rPr>
          <w:vanish/>
          <w:sz w:val="17"/>
          <w:szCs w:val="17"/>
        </w:rPr>
      </w:pPr>
    </w:p>
    <w:p w:rsidR="00AC4AF2" w:rsidRDefault="00AC4AF2" w:rsidP="00AC4AF2">
      <w:pPr>
        <w:jc w:val="center"/>
        <w:rPr>
          <w:b/>
        </w:rPr>
      </w:pPr>
      <w:r w:rsidRPr="00515964">
        <w:rPr>
          <w:b/>
        </w:rPr>
        <w:t>Информация о результатах публичного слушания</w:t>
      </w:r>
    </w:p>
    <w:p w:rsidR="00AC4AF2" w:rsidRDefault="00AC4AF2" w:rsidP="00AC4AF2">
      <w:pPr>
        <w:spacing w:after="240"/>
        <w:jc w:val="center"/>
        <w:rPr>
          <w:b/>
          <w:bCs/>
        </w:rPr>
      </w:pPr>
      <w:r w:rsidRPr="00266F79">
        <w:rPr>
          <w:b/>
          <w:bCs/>
        </w:rPr>
        <w:t xml:space="preserve">по проекту муниципального правового акта «О внесении изменений и дополнений в Устав </w:t>
      </w:r>
      <w:r>
        <w:rPr>
          <w:b/>
          <w:bCs/>
        </w:rPr>
        <w:t>муниципального образования «</w:t>
      </w:r>
      <w:proofErr w:type="spellStart"/>
      <w:r>
        <w:rPr>
          <w:b/>
          <w:bCs/>
        </w:rPr>
        <w:t>Новонукутское</w:t>
      </w:r>
      <w:proofErr w:type="spellEnd"/>
      <w:r>
        <w:rPr>
          <w:b/>
          <w:bCs/>
        </w:rPr>
        <w:t>»</w:t>
      </w:r>
    </w:p>
    <w:p w:rsidR="00AC4AF2" w:rsidRDefault="00AC4AF2" w:rsidP="00AC4AF2">
      <w:pPr>
        <w:ind w:firstLine="709"/>
        <w:jc w:val="both"/>
      </w:pPr>
      <w:r>
        <w:t>2 октября</w:t>
      </w:r>
      <w:r w:rsidRPr="00515964">
        <w:t xml:space="preserve"> 201</w:t>
      </w:r>
      <w:r w:rsidRPr="00266F79">
        <w:t>5</w:t>
      </w:r>
      <w:r w:rsidRPr="00515964">
        <w:t xml:space="preserve"> года состоялось публичное слушание по опубликованному в </w:t>
      </w:r>
      <w:r w:rsidRPr="00266F79">
        <w:t>печатном издании «</w:t>
      </w:r>
      <w:proofErr w:type="spellStart"/>
      <w:r w:rsidRPr="00266F79">
        <w:t>Новонукутский</w:t>
      </w:r>
      <w:proofErr w:type="spellEnd"/>
      <w:r w:rsidRPr="00266F79">
        <w:t xml:space="preserve"> вестник»</w:t>
      </w:r>
      <w:r w:rsidRPr="00515964">
        <w:t xml:space="preserve"> администрации </w:t>
      </w:r>
      <w:r w:rsidRPr="00266F79">
        <w:t>муниципального образования «</w:t>
      </w:r>
      <w:proofErr w:type="spellStart"/>
      <w:r w:rsidRPr="00266F79">
        <w:t>Новонукутское</w:t>
      </w:r>
      <w:proofErr w:type="spellEnd"/>
      <w:r w:rsidRPr="00266F79">
        <w:t>»</w:t>
      </w:r>
      <w:r w:rsidRPr="00515964">
        <w:t xml:space="preserve"> </w:t>
      </w:r>
      <w:r>
        <w:t>№8 от 31.08.2015</w:t>
      </w:r>
      <w:r w:rsidRPr="00266F79">
        <w:t xml:space="preserve">г. </w:t>
      </w:r>
      <w:r w:rsidRPr="00515964">
        <w:t xml:space="preserve">проекта муниципального правового акта «О внесении изменений и дополнений в Устав </w:t>
      </w:r>
      <w:r w:rsidRPr="00266F79">
        <w:t>муниципального образования «</w:t>
      </w:r>
      <w:proofErr w:type="spellStart"/>
      <w:r w:rsidRPr="00266F79">
        <w:t>Новонукутское</w:t>
      </w:r>
      <w:proofErr w:type="spellEnd"/>
      <w:r w:rsidRPr="00266F79">
        <w:t>»</w:t>
      </w:r>
      <w:r w:rsidRPr="00515964">
        <w:t>».</w:t>
      </w:r>
    </w:p>
    <w:p w:rsidR="00AC4AF2" w:rsidRDefault="00AC4AF2" w:rsidP="00AC4AF2">
      <w:pPr>
        <w:ind w:firstLine="709"/>
        <w:jc w:val="both"/>
      </w:pPr>
      <w:r w:rsidRPr="00515964">
        <w:t>Публичное слушание проведено в соответствии с действующим законодательством</w:t>
      </w:r>
      <w:r w:rsidRPr="00266F79">
        <w:t xml:space="preserve">. </w:t>
      </w:r>
      <w:r w:rsidRPr="00515964">
        <w:t xml:space="preserve">Регламент проведения выдержан, срывов и нарушений не зафиксировано. </w:t>
      </w:r>
    </w:p>
    <w:p w:rsidR="00AC4AF2" w:rsidRDefault="00AC4AF2" w:rsidP="00AC4AF2">
      <w:pPr>
        <w:ind w:firstLine="709"/>
        <w:jc w:val="both"/>
      </w:pPr>
      <w:r w:rsidRPr="00515964">
        <w:t xml:space="preserve">Участники публичного слушания получили полную информацию, обсудили и высказали своё мнение по существу обсуждаемого проекта. </w:t>
      </w:r>
    </w:p>
    <w:p w:rsidR="00AC4AF2" w:rsidRDefault="00AC4AF2" w:rsidP="00AC4AF2">
      <w:pPr>
        <w:ind w:firstLine="709"/>
        <w:jc w:val="both"/>
      </w:pPr>
      <w:r>
        <w:t>У</w:t>
      </w:r>
      <w:r w:rsidRPr="00515964">
        <w:t>читывая, что мнение участников публичного слушания непротиворечиво и составляет абсолютное большинство,</w:t>
      </w:r>
      <w:r w:rsidRPr="00266F79">
        <w:t xml:space="preserve"> </w:t>
      </w:r>
      <w:r w:rsidRPr="00952A3B">
        <w:rPr>
          <w:b/>
        </w:rPr>
        <w:t>решено</w:t>
      </w:r>
      <w:r>
        <w:t>:</w:t>
      </w:r>
    </w:p>
    <w:p w:rsidR="00AC4AF2" w:rsidRPr="00266F79" w:rsidRDefault="00AC4AF2" w:rsidP="00AC4AF2">
      <w:pPr>
        <w:ind w:firstLine="709"/>
        <w:jc w:val="both"/>
        <w:rPr>
          <w:rFonts w:eastAsia="Calibri"/>
        </w:rPr>
      </w:pPr>
      <w:r w:rsidRPr="00515964">
        <w:t xml:space="preserve"> </w:t>
      </w:r>
      <w:r>
        <w:t>1. О</w:t>
      </w:r>
      <w:r w:rsidRPr="00266F79">
        <w:rPr>
          <w:rFonts w:eastAsia="Calibri"/>
        </w:rPr>
        <w:t>добрить указанные изменения в Проект Устава муниципального образования  «</w:t>
      </w:r>
      <w:proofErr w:type="spellStart"/>
      <w:r w:rsidRPr="00266F79">
        <w:rPr>
          <w:rFonts w:eastAsia="Calibri"/>
        </w:rPr>
        <w:t>Новонукутское</w:t>
      </w:r>
      <w:proofErr w:type="spellEnd"/>
      <w:r w:rsidRPr="00266F79">
        <w:rPr>
          <w:rFonts w:eastAsia="Calibri"/>
        </w:rPr>
        <w:t>»</w:t>
      </w:r>
      <w:r>
        <w:rPr>
          <w:rFonts w:eastAsia="Calibri"/>
        </w:rPr>
        <w:t xml:space="preserve"> и</w:t>
      </w:r>
      <w:r w:rsidRPr="00266F79">
        <w:rPr>
          <w:rFonts w:eastAsia="Calibri"/>
        </w:rPr>
        <w:t xml:space="preserve"> </w:t>
      </w:r>
      <w:r>
        <w:rPr>
          <w:rFonts w:eastAsia="Calibri"/>
        </w:rPr>
        <w:t>р</w:t>
      </w:r>
      <w:r w:rsidRPr="00266F79">
        <w:rPr>
          <w:rFonts w:eastAsia="Calibri"/>
        </w:rPr>
        <w:t>екомендовать Думе муниципального образования «</w:t>
      </w:r>
      <w:proofErr w:type="spellStart"/>
      <w:r w:rsidRPr="00266F79">
        <w:rPr>
          <w:rFonts w:eastAsia="Calibri"/>
        </w:rPr>
        <w:t>Новонукутское</w:t>
      </w:r>
      <w:proofErr w:type="spellEnd"/>
      <w:r w:rsidRPr="00266F79">
        <w:rPr>
          <w:rFonts w:eastAsia="Calibri"/>
        </w:rPr>
        <w:t>» внести указанные изменения и дополнения в Проект Устава МО «</w:t>
      </w:r>
      <w:proofErr w:type="spellStart"/>
      <w:r w:rsidRPr="00266F79">
        <w:rPr>
          <w:rFonts w:eastAsia="Calibri"/>
        </w:rPr>
        <w:t>Новонукутское</w:t>
      </w:r>
      <w:proofErr w:type="spellEnd"/>
      <w:r w:rsidRPr="00266F79">
        <w:rPr>
          <w:rFonts w:eastAsia="Calibri"/>
        </w:rPr>
        <w:t>», изложив его в новой редакции с учетом указанных изменений и дополнений.</w:t>
      </w:r>
    </w:p>
    <w:p w:rsidR="00AC4AF2" w:rsidRPr="00266F79" w:rsidRDefault="00AC4AF2" w:rsidP="00AC4AF2">
      <w:pPr>
        <w:ind w:firstLine="709"/>
        <w:jc w:val="both"/>
        <w:rPr>
          <w:rFonts w:eastAsia="Calibri"/>
        </w:rPr>
      </w:pPr>
      <w:r w:rsidRPr="00266F79">
        <w:rPr>
          <w:rFonts w:eastAsia="Calibri"/>
        </w:rPr>
        <w:t>2. Протокол публичных слушаний передать администрации муниципального образования «</w:t>
      </w:r>
      <w:proofErr w:type="spellStart"/>
      <w:r w:rsidRPr="00266F79">
        <w:rPr>
          <w:rFonts w:eastAsia="Calibri"/>
        </w:rPr>
        <w:t>Новонукутское</w:t>
      </w:r>
      <w:proofErr w:type="spellEnd"/>
      <w:r w:rsidRPr="00266F79">
        <w:rPr>
          <w:rFonts w:eastAsia="Calibri"/>
        </w:rPr>
        <w:t>» и Думе муниципального образования «</w:t>
      </w:r>
      <w:proofErr w:type="spellStart"/>
      <w:r w:rsidRPr="00266F79">
        <w:rPr>
          <w:rFonts w:eastAsia="Calibri"/>
        </w:rPr>
        <w:t>Новонукутское</w:t>
      </w:r>
      <w:proofErr w:type="spellEnd"/>
      <w:r w:rsidRPr="00266F79">
        <w:rPr>
          <w:rFonts w:eastAsia="Calibri"/>
        </w:rPr>
        <w:t>»,  для рассмотрения.</w:t>
      </w:r>
    </w:p>
    <w:p w:rsidR="00AC4AF2" w:rsidRPr="00266F79" w:rsidRDefault="00AC4AF2" w:rsidP="00AC4AF2">
      <w:pPr>
        <w:ind w:firstLine="709"/>
        <w:jc w:val="both"/>
        <w:rPr>
          <w:b/>
        </w:rPr>
      </w:pPr>
      <w:r w:rsidRPr="00266F79">
        <w:rPr>
          <w:rFonts w:eastAsia="Calibri"/>
        </w:rPr>
        <w:t xml:space="preserve">3. </w:t>
      </w:r>
      <w:proofErr w:type="gramStart"/>
      <w:r w:rsidRPr="00266F79">
        <w:rPr>
          <w:rFonts w:eastAsia="Calibri"/>
        </w:rPr>
        <w:t>Разместить</w:t>
      </w:r>
      <w:proofErr w:type="gramEnd"/>
      <w:r w:rsidRPr="00266F79">
        <w:rPr>
          <w:rFonts w:eastAsia="Calibri"/>
        </w:rPr>
        <w:t xml:space="preserve"> информационное сообщение о результатах публичных слушаний по проекту решения Думы МО «</w:t>
      </w:r>
      <w:proofErr w:type="spellStart"/>
      <w:r w:rsidRPr="00266F79">
        <w:rPr>
          <w:rFonts w:eastAsia="Calibri"/>
        </w:rPr>
        <w:t>Новонукутское</w:t>
      </w:r>
      <w:proofErr w:type="spellEnd"/>
      <w:r w:rsidRPr="00266F79">
        <w:rPr>
          <w:rFonts w:eastAsia="Calibri"/>
        </w:rPr>
        <w:t>» «О внесении изменений и дополнений в Устав муниципального образования «</w:t>
      </w:r>
      <w:proofErr w:type="spellStart"/>
      <w:r w:rsidRPr="00266F79">
        <w:rPr>
          <w:rFonts w:eastAsia="Calibri"/>
        </w:rPr>
        <w:t>Новонукутское</w:t>
      </w:r>
      <w:proofErr w:type="spellEnd"/>
      <w:r w:rsidRPr="00266F79">
        <w:rPr>
          <w:rFonts w:eastAsia="Calibri"/>
        </w:rPr>
        <w:t xml:space="preserve">» в </w:t>
      </w:r>
      <w:r>
        <w:rPr>
          <w:rFonts w:eastAsia="Calibri"/>
        </w:rPr>
        <w:t>печатном издании «</w:t>
      </w:r>
      <w:proofErr w:type="spellStart"/>
      <w:r>
        <w:rPr>
          <w:rFonts w:eastAsia="Calibri"/>
        </w:rPr>
        <w:t>Новонукутский</w:t>
      </w:r>
      <w:proofErr w:type="spellEnd"/>
      <w:r>
        <w:rPr>
          <w:rFonts w:eastAsia="Calibri"/>
        </w:rPr>
        <w:t xml:space="preserve"> вестник».</w:t>
      </w:r>
    </w:p>
    <w:p w:rsidR="00AD36F7" w:rsidRDefault="00AD36F7" w:rsidP="00AD36F7">
      <w:pPr>
        <w:keepNext/>
        <w:jc w:val="center"/>
        <w:outlineLvl w:val="2"/>
        <w:rPr>
          <w:b/>
          <w:spacing w:val="30"/>
        </w:rPr>
      </w:pPr>
    </w:p>
    <w:p w:rsidR="00AD36F7" w:rsidRPr="00AD36F7" w:rsidRDefault="00AD36F7" w:rsidP="00AD36F7">
      <w:pPr>
        <w:keepNext/>
        <w:jc w:val="center"/>
        <w:outlineLvl w:val="2"/>
        <w:rPr>
          <w:b/>
          <w:spacing w:val="30"/>
          <w:sz w:val="20"/>
          <w:szCs w:val="20"/>
        </w:rPr>
      </w:pPr>
      <w:r w:rsidRPr="00AD36F7">
        <w:rPr>
          <w:b/>
          <w:spacing w:val="30"/>
          <w:sz w:val="20"/>
          <w:szCs w:val="20"/>
        </w:rPr>
        <w:t>РОССИЙСКАЯ ФЕДЕРАЦИЯ</w:t>
      </w:r>
    </w:p>
    <w:p w:rsidR="00AD36F7" w:rsidRPr="00AD36F7" w:rsidRDefault="00AD36F7" w:rsidP="00AD36F7">
      <w:pPr>
        <w:keepNext/>
        <w:jc w:val="center"/>
        <w:outlineLvl w:val="2"/>
        <w:rPr>
          <w:b/>
          <w:spacing w:val="30"/>
          <w:sz w:val="20"/>
          <w:szCs w:val="20"/>
        </w:rPr>
      </w:pPr>
      <w:r w:rsidRPr="00AD36F7">
        <w:rPr>
          <w:b/>
          <w:spacing w:val="30"/>
          <w:sz w:val="20"/>
          <w:szCs w:val="20"/>
        </w:rPr>
        <w:t>ИРКУТСКАЯ ОБЛАСТЬ</w:t>
      </w:r>
    </w:p>
    <w:p w:rsidR="00AD36F7" w:rsidRPr="00AD36F7" w:rsidRDefault="00AD36F7" w:rsidP="00AD36F7">
      <w:pPr>
        <w:keepNext/>
        <w:jc w:val="center"/>
        <w:outlineLvl w:val="2"/>
        <w:rPr>
          <w:b/>
          <w:spacing w:val="30"/>
          <w:sz w:val="20"/>
          <w:szCs w:val="20"/>
        </w:rPr>
      </w:pPr>
      <w:r w:rsidRPr="00AD36F7">
        <w:rPr>
          <w:b/>
          <w:spacing w:val="30"/>
          <w:sz w:val="20"/>
          <w:szCs w:val="20"/>
        </w:rPr>
        <w:t>Муниципальное образование «</w:t>
      </w:r>
      <w:proofErr w:type="spellStart"/>
      <w:r w:rsidRPr="00AD36F7">
        <w:rPr>
          <w:b/>
          <w:spacing w:val="30"/>
          <w:sz w:val="20"/>
          <w:szCs w:val="20"/>
        </w:rPr>
        <w:t>Новонукутское</w:t>
      </w:r>
      <w:proofErr w:type="spellEnd"/>
      <w:r w:rsidRPr="00AD36F7">
        <w:rPr>
          <w:b/>
          <w:spacing w:val="30"/>
          <w:sz w:val="20"/>
          <w:szCs w:val="20"/>
        </w:rPr>
        <w:t>»</w:t>
      </w:r>
    </w:p>
    <w:p w:rsidR="00AD36F7" w:rsidRPr="00AD36F7" w:rsidRDefault="00AD36F7" w:rsidP="00AD36F7">
      <w:pPr>
        <w:jc w:val="center"/>
        <w:rPr>
          <w:sz w:val="20"/>
          <w:szCs w:val="20"/>
        </w:rPr>
      </w:pPr>
    </w:p>
    <w:p w:rsidR="00AD36F7" w:rsidRPr="00AD36F7" w:rsidRDefault="00AD36F7" w:rsidP="00AD36F7">
      <w:pPr>
        <w:jc w:val="center"/>
        <w:rPr>
          <w:sz w:val="20"/>
          <w:szCs w:val="20"/>
        </w:rPr>
      </w:pPr>
    </w:p>
    <w:p w:rsidR="00AD36F7" w:rsidRPr="00AD36F7" w:rsidRDefault="00AD36F7" w:rsidP="00AD36F7">
      <w:pPr>
        <w:keepNext/>
        <w:jc w:val="center"/>
        <w:outlineLvl w:val="0"/>
        <w:rPr>
          <w:b/>
          <w:spacing w:val="38"/>
          <w:sz w:val="20"/>
          <w:szCs w:val="20"/>
        </w:rPr>
      </w:pPr>
      <w:r w:rsidRPr="00AD36F7">
        <w:rPr>
          <w:b/>
          <w:spacing w:val="38"/>
          <w:sz w:val="20"/>
          <w:szCs w:val="20"/>
        </w:rPr>
        <w:t>ПОСТАНОВЛЕНИЕ</w:t>
      </w:r>
    </w:p>
    <w:p w:rsidR="00AD36F7" w:rsidRPr="00AD36F7" w:rsidRDefault="00AD36F7" w:rsidP="00AD36F7">
      <w:pPr>
        <w:shd w:val="clear" w:color="auto" w:fill="FFFFFF"/>
        <w:rPr>
          <w:rFonts w:eastAsia="SimSun"/>
          <w:sz w:val="20"/>
          <w:szCs w:val="20"/>
          <w:lang w:eastAsia="zh-CN"/>
        </w:rPr>
      </w:pPr>
    </w:p>
    <w:p w:rsidR="00AD36F7" w:rsidRPr="00AD36F7" w:rsidRDefault="00AD36F7" w:rsidP="00AD36F7">
      <w:pPr>
        <w:tabs>
          <w:tab w:val="center" w:pos="4677"/>
          <w:tab w:val="left" w:pos="6705"/>
        </w:tabs>
        <w:jc w:val="center"/>
        <w:rPr>
          <w:sz w:val="20"/>
          <w:szCs w:val="20"/>
        </w:rPr>
      </w:pPr>
      <w:r w:rsidRPr="00AD36F7">
        <w:rPr>
          <w:sz w:val="20"/>
          <w:szCs w:val="20"/>
        </w:rPr>
        <w:t xml:space="preserve">07 октября 2015 г.                                           № 433                                       п. </w:t>
      </w:r>
      <w:proofErr w:type="spellStart"/>
      <w:r w:rsidRPr="00AD36F7">
        <w:rPr>
          <w:sz w:val="20"/>
          <w:szCs w:val="20"/>
        </w:rPr>
        <w:t>Новонукутский</w:t>
      </w:r>
      <w:proofErr w:type="spellEnd"/>
    </w:p>
    <w:p w:rsidR="00AD36F7" w:rsidRPr="00AD36F7" w:rsidRDefault="00AD36F7" w:rsidP="00AD36F7">
      <w:pPr>
        <w:tabs>
          <w:tab w:val="num" w:pos="0"/>
        </w:tabs>
        <w:rPr>
          <w:rFonts w:eastAsia="Calibri"/>
          <w:b/>
          <w:sz w:val="20"/>
          <w:szCs w:val="20"/>
        </w:rPr>
      </w:pPr>
    </w:p>
    <w:p w:rsidR="00AD36F7" w:rsidRPr="00AD36F7" w:rsidRDefault="00AD36F7" w:rsidP="00AD36F7">
      <w:pPr>
        <w:tabs>
          <w:tab w:val="num" w:pos="0"/>
        </w:tabs>
        <w:jc w:val="center"/>
        <w:rPr>
          <w:b/>
          <w:sz w:val="20"/>
          <w:szCs w:val="20"/>
        </w:rPr>
      </w:pPr>
      <w:r w:rsidRPr="00AD36F7">
        <w:rPr>
          <w:b/>
          <w:sz w:val="20"/>
          <w:szCs w:val="20"/>
        </w:rPr>
        <w:t>«Об утверждении Порядка установления платы за наем жилого помещения   муниципального жилищного фонда»</w:t>
      </w:r>
    </w:p>
    <w:p w:rsidR="00AD36F7" w:rsidRPr="00AD36F7" w:rsidRDefault="00AD36F7" w:rsidP="00AD36F7">
      <w:pPr>
        <w:autoSpaceDE w:val="0"/>
        <w:autoSpaceDN w:val="0"/>
        <w:adjustRightInd w:val="0"/>
        <w:outlineLvl w:val="1"/>
        <w:rPr>
          <w:sz w:val="20"/>
          <w:szCs w:val="20"/>
        </w:rPr>
      </w:pPr>
    </w:p>
    <w:p w:rsidR="00AD36F7" w:rsidRPr="00AD36F7" w:rsidRDefault="00AD36F7" w:rsidP="00AD36F7">
      <w:pPr>
        <w:ind w:right="142" w:firstLine="708"/>
        <w:jc w:val="both"/>
        <w:rPr>
          <w:sz w:val="20"/>
          <w:szCs w:val="20"/>
        </w:rPr>
      </w:pPr>
      <w:proofErr w:type="gramStart"/>
      <w:r w:rsidRPr="00AD36F7">
        <w:rPr>
          <w:sz w:val="20"/>
          <w:szCs w:val="20"/>
        </w:rPr>
        <w:t>В целях рационального использования муниципального имущества и создания единой системы определения и начисления платы за пользование жилым помещением (платы за наем), в соответствии со ст.14, 154, 156 Жилищного кодекса Российской Федерации, ст. 14 Федерального закона «Об общих принципах организации местного самоуправления в Российской Федерации» от 06.10.2003 года № 131 –ФЗ, постановлением Правительства Российской Федерации от 21.01.2006 года № 25 «Об утверждении</w:t>
      </w:r>
      <w:proofErr w:type="gramEnd"/>
      <w:r w:rsidRPr="00AD36F7">
        <w:rPr>
          <w:sz w:val="20"/>
          <w:szCs w:val="20"/>
        </w:rPr>
        <w:t xml:space="preserve"> </w:t>
      </w:r>
      <w:proofErr w:type="gramStart"/>
      <w:r w:rsidRPr="00AD36F7">
        <w:rPr>
          <w:sz w:val="20"/>
          <w:szCs w:val="20"/>
        </w:rPr>
        <w:t>Правил пользования жилыми помещениями», Указа Губернатора Иркутской области от 28.11.2014 года № 355-уг «Об утверждении предельных (максимальных) индексов изменения размера вносимой гражданами платы за коммунальные услуги в муниципальных образованиях Иркутской области на 2015 год», приказом Министерства строительства Российской Федерации от 02.12.1996 года № 17-152 «Об утверждении «Методических  указаний по расчету ставок платы за наем и отчислений на капитальный ремонт жилых помещений, включаемых</w:t>
      </w:r>
      <w:proofErr w:type="gramEnd"/>
      <w:r w:rsidRPr="00AD36F7">
        <w:rPr>
          <w:sz w:val="20"/>
          <w:szCs w:val="20"/>
        </w:rPr>
        <w:t xml:space="preserve"> в ставку платы за содержание и ремонт жилья (техническое обслуживание) муниципального и государственного жилищного фонда», Уставом МО «</w:t>
      </w:r>
      <w:proofErr w:type="spellStart"/>
      <w:r w:rsidRPr="00AD36F7">
        <w:rPr>
          <w:sz w:val="20"/>
          <w:szCs w:val="20"/>
        </w:rPr>
        <w:t>Новонукутское</w:t>
      </w:r>
      <w:proofErr w:type="spellEnd"/>
      <w:r w:rsidRPr="00AD36F7">
        <w:rPr>
          <w:sz w:val="20"/>
          <w:szCs w:val="20"/>
        </w:rPr>
        <w:t xml:space="preserve">» </w:t>
      </w:r>
    </w:p>
    <w:p w:rsidR="00AD36F7" w:rsidRPr="00AD36F7" w:rsidRDefault="00AD36F7" w:rsidP="00AD36F7">
      <w:pPr>
        <w:ind w:right="142" w:firstLine="708"/>
        <w:jc w:val="center"/>
        <w:rPr>
          <w:rFonts w:eastAsia="Calibri"/>
          <w:b/>
          <w:sz w:val="20"/>
          <w:szCs w:val="20"/>
        </w:rPr>
      </w:pPr>
      <w:r w:rsidRPr="00AD36F7">
        <w:rPr>
          <w:rFonts w:eastAsia="Calibri"/>
          <w:b/>
          <w:sz w:val="20"/>
          <w:szCs w:val="20"/>
        </w:rPr>
        <w:t>ПОСТАНОВЛЯЮ:</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eastAsia="Calibri" w:hAnsi="Times New Roman" w:cs="Times New Roman"/>
        </w:rPr>
        <w:t xml:space="preserve">1. </w:t>
      </w:r>
      <w:r w:rsidRPr="00AD36F7">
        <w:rPr>
          <w:rFonts w:ascii="Times New Roman" w:hAnsi="Times New Roman" w:cs="Times New Roman"/>
        </w:rPr>
        <w:t>Утвердить Порядок установления платы за наем жилого помещения муниципального жилищного фонда на территории муниципального образования «</w:t>
      </w:r>
      <w:proofErr w:type="spellStart"/>
      <w:r w:rsidRPr="00AD36F7">
        <w:rPr>
          <w:rFonts w:ascii="Times New Roman" w:hAnsi="Times New Roman" w:cs="Times New Roman"/>
        </w:rPr>
        <w:t>Новонукутское</w:t>
      </w:r>
      <w:proofErr w:type="spellEnd"/>
      <w:r w:rsidRPr="00AD36F7">
        <w:rPr>
          <w:rFonts w:ascii="Times New Roman" w:hAnsi="Times New Roman" w:cs="Times New Roman"/>
        </w:rPr>
        <w:t>» (Приложение № 1).</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2. Не взимать плату за наем жилых помещений:</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 в домах, находящихся в аварийном состоянии;</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 в домах (квартирах, комнатах) признанных в установленном порядке непригодными для проживания, а также  с граждан, признанных в установленном порядке малоимущими и занимающих жилые помещения по договорам социального найма.</w:t>
      </w:r>
    </w:p>
    <w:p w:rsidR="00AD36F7" w:rsidRPr="00AD36F7" w:rsidRDefault="00AD36F7" w:rsidP="00AD36F7">
      <w:pPr>
        <w:ind w:firstLine="540"/>
        <w:jc w:val="both"/>
        <w:rPr>
          <w:rFonts w:eastAsia="Calibri"/>
          <w:sz w:val="20"/>
          <w:szCs w:val="20"/>
        </w:rPr>
      </w:pPr>
      <w:r w:rsidRPr="00AD36F7">
        <w:rPr>
          <w:rFonts w:eastAsia="Calibri"/>
          <w:sz w:val="20"/>
          <w:szCs w:val="20"/>
        </w:rPr>
        <w:t>3. Опубликовать настоящее постановление в печатном издании «</w:t>
      </w:r>
      <w:proofErr w:type="spellStart"/>
      <w:r w:rsidRPr="00AD36F7">
        <w:rPr>
          <w:rFonts w:eastAsia="Calibri"/>
          <w:sz w:val="20"/>
          <w:szCs w:val="20"/>
        </w:rPr>
        <w:t>Новонукутский</w:t>
      </w:r>
      <w:proofErr w:type="spellEnd"/>
      <w:r w:rsidRPr="00AD36F7">
        <w:rPr>
          <w:rFonts w:eastAsia="Calibri"/>
          <w:sz w:val="20"/>
          <w:szCs w:val="20"/>
        </w:rPr>
        <w:t xml:space="preserve"> вестник» и разместить на официальном сайте Администрации муниципального образования «</w:t>
      </w:r>
      <w:proofErr w:type="spellStart"/>
      <w:r w:rsidRPr="00AD36F7">
        <w:rPr>
          <w:rFonts w:eastAsia="Calibri"/>
          <w:sz w:val="20"/>
          <w:szCs w:val="20"/>
        </w:rPr>
        <w:t>Новонукутское</w:t>
      </w:r>
      <w:proofErr w:type="spellEnd"/>
      <w:r w:rsidRPr="00AD36F7">
        <w:rPr>
          <w:rFonts w:eastAsia="Calibri"/>
          <w:sz w:val="20"/>
          <w:szCs w:val="20"/>
        </w:rPr>
        <w:t>» в сети Интернет.</w:t>
      </w:r>
    </w:p>
    <w:p w:rsidR="00AD36F7" w:rsidRPr="00AD36F7" w:rsidRDefault="00AD36F7" w:rsidP="00AD36F7">
      <w:pPr>
        <w:jc w:val="both"/>
        <w:rPr>
          <w:rFonts w:eastAsia="Calibri"/>
          <w:sz w:val="20"/>
          <w:szCs w:val="20"/>
        </w:rPr>
      </w:pPr>
      <w:r w:rsidRPr="00AD36F7">
        <w:rPr>
          <w:rFonts w:eastAsia="Calibri"/>
          <w:sz w:val="20"/>
          <w:szCs w:val="20"/>
        </w:rPr>
        <w:t xml:space="preserve">          4. </w:t>
      </w:r>
      <w:proofErr w:type="gramStart"/>
      <w:r w:rsidRPr="00AD36F7">
        <w:rPr>
          <w:rFonts w:eastAsia="Calibri"/>
          <w:sz w:val="20"/>
          <w:szCs w:val="20"/>
        </w:rPr>
        <w:t>Контроль за</w:t>
      </w:r>
      <w:proofErr w:type="gramEnd"/>
      <w:r w:rsidRPr="00AD36F7">
        <w:rPr>
          <w:rFonts w:eastAsia="Calibri"/>
          <w:sz w:val="20"/>
          <w:szCs w:val="20"/>
        </w:rPr>
        <w:t xml:space="preserve"> выполнением настоящего постановления оставляю за собой.</w:t>
      </w:r>
    </w:p>
    <w:p w:rsidR="00AD36F7" w:rsidRPr="00AD36F7" w:rsidRDefault="00AD36F7" w:rsidP="00AD36F7">
      <w:pPr>
        <w:jc w:val="both"/>
        <w:rPr>
          <w:rFonts w:eastAsia="Calibri"/>
          <w:sz w:val="20"/>
          <w:szCs w:val="20"/>
        </w:rPr>
      </w:pPr>
    </w:p>
    <w:p w:rsidR="00AD36F7" w:rsidRPr="00AD36F7" w:rsidRDefault="00AD36F7" w:rsidP="00AD36F7">
      <w:pPr>
        <w:jc w:val="center"/>
        <w:rPr>
          <w:rFonts w:eastAsia="Calibri"/>
          <w:sz w:val="20"/>
          <w:szCs w:val="20"/>
        </w:rPr>
      </w:pPr>
      <w:r w:rsidRPr="00AD36F7">
        <w:rPr>
          <w:rFonts w:eastAsia="Calibri"/>
          <w:sz w:val="20"/>
          <w:szCs w:val="20"/>
        </w:rPr>
        <w:t>Глава</w:t>
      </w:r>
      <w:r w:rsidRPr="00AD36F7">
        <w:rPr>
          <w:rFonts w:eastAsia="Calibri"/>
          <w:b/>
          <w:sz w:val="20"/>
          <w:szCs w:val="20"/>
        </w:rPr>
        <w:t xml:space="preserve"> </w:t>
      </w:r>
      <w:r w:rsidRPr="00AD36F7">
        <w:rPr>
          <w:rFonts w:eastAsia="Calibri"/>
          <w:sz w:val="20"/>
          <w:szCs w:val="20"/>
        </w:rPr>
        <w:t>муниципального образования «</w:t>
      </w:r>
      <w:proofErr w:type="spellStart"/>
      <w:r w:rsidRPr="00AD36F7">
        <w:rPr>
          <w:rFonts w:eastAsia="Calibri"/>
          <w:sz w:val="20"/>
          <w:szCs w:val="20"/>
        </w:rPr>
        <w:t>Новонукутское</w:t>
      </w:r>
      <w:proofErr w:type="spellEnd"/>
      <w:r w:rsidRPr="00AD36F7">
        <w:rPr>
          <w:rFonts w:eastAsia="Calibri"/>
          <w:sz w:val="20"/>
          <w:szCs w:val="20"/>
        </w:rPr>
        <w:t>»</w:t>
      </w:r>
      <w:r w:rsidRPr="00AD36F7">
        <w:rPr>
          <w:rFonts w:eastAsia="Calibri"/>
          <w:sz w:val="20"/>
          <w:szCs w:val="20"/>
        </w:rPr>
        <w:tab/>
      </w:r>
      <w:r w:rsidRPr="00AD36F7">
        <w:rPr>
          <w:rFonts w:eastAsia="Calibri"/>
          <w:sz w:val="20"/>
          <w:szCs w:val="20"/>
        </w:rPr>
        <w:tab/>
      </w:r>
      <w:r w:rsidRPr="00AD36F7">
        <w:rPr>
          <w:rFonts w:eastAsia="Calibri"/>
          <w:sz w:val="20"/>
          <w:szCs w:val="20"/>
        </w:rPr>
        <w:tab/>
        <w:t xml:space="preserve">О.Н. </w:t>
      </w:r>
      <w:proofErr w:type="spellStart"/>
      <w:r w:rsidRPr="00AD36F7">
        <w:rPr>
          <w:rFonts w:eastAsia="Calibri"/>
          <w:sz w:val="20"/>
          <w:szCs w:val="20"/>
        </w:rPr>
        <w:t>Кархова</w:t>
      </w:r>
      <w:proofErr w:type="spellEnd"/>
    </w:p>
    <w:p w:rsidR="00AD36F7" w:rsidRPr="00AD36F7" w:rsidRDefault="00AD36F7" w:rsidP="00AD36F7">
      <w:pPr>
        <w:jc w:val="both"/>
        <w:rPr>
          <w:rFonts w:eastAsia="Calibri"/>
          <w:sz w:val="20"/>
          <w:szCs w:val="20"/>
        </w:rPr>
      </w:pPr>
      <w:r w:rsidRPr="00AD36F7">
        <w:rPr>
          <w:rFonts w:eastAsia="Calibri"/>
          <w:sz w:val="20"/>
          <w:szCs w:val="20"/>
        </w:rPr>
        <w:t xml:space="preserve">                                                                                                  </w:t>
      </w:r>
    </w:p>
    <w:p w:rsidR="00AD36F7" w:rsidRPr="00AD36F7" w:rsidRDefault="00AD36F7" w:rsidP="00AD36F7">
      <w:pPr>
        <w:jc w:val="right"/>
        <w:rPr>
          <w:rFonts w:eastAsia="Calibri"/>
          <w:b/>
          <w:i/>
          <w:sz w:val="20"/>
          <w:szCs w:val="20"/>
        </w:rPr>
      </w:pPr>
      <w:r w:rsidRPr="00AD36F7">
        <w:rPr>
          <w:rFonts w:eastAsia="Calibri"/>
          <w:b/>
          <w:i/>
          <w:sz w:val="20"/>
          <w:szCs w:val="20"/>
        </w:rPr>
        <w:t>Приложение № 1</w:t>
      </w:r>
    </w:p>
    <w:p w:rsidR="00AD36F7" w:rsidRPr="00AD36F7" w:rsidRDefault="00AD36F7" w:rsidP="00AD36F7">
      <w:pPr>
        <w:jc w:val="right"/>
        <w:rPr>
          <w:rFonts w:eastAsia="Calibri"/>
          <w:sz w:val="20"/>
          <w:szCs w:val="20"/>
        </w:rPr>
      </w:pPr>
      <w:r w:rsidRPr="00AD36F7">
        <w:rPr>
          <w:rFonts w:eastAsia="Calibri"/>
          <w:sz w:val="20"/>
          <w:szCs w:val="20"/>
        </w:rPr>
        <w:t>Утвержден</w:t>
      </w:r>
    </w:p>
    <w:p w:rsidR="00AD36F7" w:rsidRPr="00AD36F7" w:rsidRDefault="00AD36F7" w:rsidP="00AD36F7">
      <w:pPr>
        <w:jc w:val="right"/>
        <w:rPr>
          <w:rFonts w:eastAsia="Calibri"/>
          <w:sz w:val="20"/>
          <w:szCs w:val="20"/>
        </w:rPr>
      </w:pPr>
      <w:r w:rsidRPr="00AD36F7">
        <w:rPr>
          <w:rFonts w:eastAsia="Calibri"/>
          <w:sz w:val="20"/>
          <w:szCs w:val="20"/>
        </w:rPr>
        <w:t xml:space="preserve">                                                                           Постановлением главы                                                          </w:t>
      </w:r>
    </w:p>
    <w:p w:rsidR="00AD36F7" w:rsidRPr="00AD36F7" w:rsidRDefault="00AD36F7" w:rsidP="00AD36F7">
      <w:pPr>
        <w:jc w:val="right"/>
        <w:rPr>
          <w:rFonts w:eastAsia="Calibri"/>
          <w:sz w:val="20"/>
          <w:szCs w:val="20"/>
        </w:rPr>
      </w:pPr>
      <w:r w:rsidRPr="00AD36F7">
        <w:rPr>
          <w:rFonts w:eastAsia="Calibri"/>
          <w:sz w:val="20"/>
          <w:szCs w:val="20"/>
        </w:rPr>
        <w:t xml:space="preserve">администрации </w:t>
      </w:r>
    </w:p>
    <w:p w:rsidR="00AD36F7" w:rsidRPr="00AD36F7" w:rsidRDefault="00AD36F7" w:rsidP="00AD36F7">
      <w:pPr>
        <w:jc w:val="right"/>
        <w:rPr>
          <w:rFonts w:eastAsia="Calibri"/>
          <w:sz w:val="20"/>
          <w:szCs w:val="20"/>
        </w:rPr>
      </w:pPr>
      <w:r w:rsidRPr="00AD36F7">
        <w:rPr>
          <w:rFonts w:eastAsia="Calibri"/>
          <w:sz w:val="20"/>
          <w:szCs w:val="20"/>
        </w:rPr>
        <w:t>МО «</w:t>
      </w:r>
      <w:proofErr w:type="spellStart"/>
      <w:r w:rsidRPr="00AD36F7">
        <w:rPr>
          <w:rFonts w:eastAsia="Calibri"/>
          <w:sz w:val="20"/>
          <w:szCs w:val="20"/>
        </w:rPr>
        <w:t>Новонукутское</w:t>
      </w:r>
      <w:proofErr w:type="spellEnd"/>
      <w:r w:rsidRPr="00AD36F7">
        <w:rPr>
          <w:rFonts w:eastAsia="Calibri"/>
          <w:sz w:val="20"/>
          <w:szCs w:val="20"/>
        </w:rPr>
        <w:t>»</w:t>
      </w:r>
    </w:p>
    <w:p w:rsidR="00AD36F7" w:rsidRPr="00AD36F7" w:rsidRDefault="00AD36F7" w:rsidP="00AD36F7">
      <w:pPr>
        <w:jc w:val="right"/>
        <w:rPr>
          <w:rFonts w:eastAsia="Calibri"/>
          <w:sz w:val="20"/>
          <w:szCs w:val="20"/>
        </w:rPr>
      </w:pPr>
      <w:r w:rsidRPr="00AD36F7">
        <w:rPr>
          <w:rFonts w:eastAsia="Calibri"/>
          <w:sz w:val="20"/>
          <w:szCs w:val="20"/>
        </w:rPr>
        <w:t xml:space="preserve">                                                                           от 07.10.2015г №433  </w:t>
      </w:r>
    </w:p>
    <w:p w:rsidR="00AD36F7" w:rsidRPr="00AD36F7" w:rsidRDefault="00AD36F7" w:rsidP="00AD36F7">
      <w:pPr>
        <w:jc w:val="right"/>
        <w:rPr>
          <w:rFonts w:eastAsia="Calibri"/>
          <w:sz w:val="20"/>
          <w:szCs w:val="20"/>
        </w:rPr>
      </w:pPr>
    </w:p>
    <w:p w:rsidR="00AD36F7" w:rsidRPr="00AD36F7" w:rsidRDefault="00AD36F7" w:rsidP="00AD36F7">
      <w:pPr>
        <w:jc w:val="center"/>
        <w:outlineLvl w:val="0"/>
        <w:rPr>
          <w:b/>
          <w:sz w:val="20"/>
          <w:szCs w:val="20"/>
        </w:rPr>
      </w:pPr>
      <w:r w:rsidRPr="00AD36F7">
        <w:rPr>
          <w:b/>
          <w:sz w:val="20"/>
          <w:szCs w:val="20"/>
        </w:rPr>
        <w:t>Порядок</w:t>
      </w:r>
    </w:p>
    <w:p w:rsidR="00AD36F7" w:rsidRPr="00AD36F7" w:rsidRDefault="00AD36F7" w:rsidP="00AD36F7">
      <w:pPr>
        <w:jc w:val="center"/>
        <w:outlineLvl w:val="0"/>
        <w:rPr>
          <w:b/>
          <w:sz w:val="20"/>
          <w:szCs w:val="20"/>
        </w:rPr>
      </w:pPr>
      <w:r w:rsidRPr="00AD36F7">
        <w:rPr>
          <w:b/>
          <w:sz w:val="20"/>
          <w:szCs w:val="20"/>
        </w:rPr>
        <w:t xml:space="preserve"> установления платы за наем жилого помещения муниципального жилищного фонда  на территории муниципального образования «</w:t>
      </w:r>
      <w:proofErr w:type="spellStart"/>
      <w:r w:rsidRPr="00AD36F7">
        <w:rPr>
          <w:b/>
          <w:sz w:val="20"/>
          <w:szCs w:val="20"/>
        </w:rPr>
        <w:t>Новонукутское</w:t>
      </w:r>
      <w:proofErr w:type="spellEnd"/>
      <w:r w:rsidRPr="00AD36F7">
        <w:rPr>
          <w:b/>
          <w:sz w:val="20"/>
          <w:szCs w:val="20"/>
        </w:rPr>
        <w:t>»</w:t>
      </w:r>
    </w:p>
    <w:p w:rsidR="00AD36F7" w:rsidRPr="00AD36F7" w:rsidRDefault="00AD36F7" w:rsidP="00AD36F7">
      <w:pPr>
        <w:jc w:val="center"/>
        <w:outlineLvl w:val="0"/>
        <w:rPr>
          <w:b/>
          <w:sz w:val="20"/>
          <w:szCs w:val="20"/>
        </w:rPr>
      </w:pPr>
    </w:p>
    <w:p w:rsidR="00AD36F7" w:rsidRPr="00AD36F7" w:rsidRDefault="00AD36F7" w:rsidP="00AD36F7">
      <w:pPr>
        <w:ind w:firstLine="600"/>
        <w:jc w:val="center"/>
        <w:outlineLvl w:val="0"/>
        <w:rPr>
          <w:b/>
          <w:sz w:val="20"/>
          <w:szCs w:val="20"/>
        </w:rPr>
      </w:pPr>
      <w:r w:rsidRPr="00AD36F7">
        <w:rPr>
          <w:b/>
          <w:sz w:val="20"/>
          <w:szCs w:val="20"/>
        </w:rPr>
        <w:t>1.Общие положения</w:t>
      </w:r>
    </w:p>
    <w:p w:rsidR="00AD36F7" w:rsidRPr="00AD36F7" w:rsidRDefault="00AD36F7" w:rsidP="00AD36F7">
      <w:pPr>
        <w:ind w:firstLine="600"/>
        <w:jc w:val="both"/>
        <w:outlineLvl w:val="0"/>
        <w:rPr>
          <w:sz w:val="20"/>
          <w:szCs w:val="20"/>
        </w:rPr>
      </w:pPr>
      <w:r w:rsidRPr="00AD36F7">
        <w:rPr>
          <w:sz w:val="20"/>
          <w:szCs w:val="20"/>
        </w:rPr>
        <w:t xml:space="preserve">Настоящий Порядок разработан в соответствии с Жилищным кодексом Российской Федерации, постановлением Правительства Российской Федерации от 21.01.2006 года № 25 «Об утверждении Правил пользования жилыми помещениями», приказом Министерства строительства Российской Федерации от 02.12.1996 года № 17-152 «Об утверждении «Методических указаний  по расчету ставок платы за </w:t>
      </w:r>
      <w:proofErr w:type="spellStart"/>
      <w:proofErr w:type="gramStart"/>
      <w:r w:rsidRPr="00AD36F7">
        <w:rPr>
          <w:sz w:val="20"/>
          <w:szCs w:val="20"/>
        </w:rPr>
        <w:t>найм</w:t>
      </w:r>
      <w:proofErr w:type="spellEnd"/>
      <w:r w:rsidRPr="00AD36F7">
        <w:rPr>
          <w:sz w:val="20"/>
          <w:szCs w:val="20"/>
        </w:rPr>
        <w:t xml:space="preserve"> и</w:t>
      </w:r>
      <w:proofErr w:type="gramEnd"/>
      <w:r w:rsidRPr="00AD36F7">
        <w:rPr>
          <w:sz w:val="20"/>
          <w:szCs w:val="20"/>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и определяет методику расчета платы за наем  для нанимателей жилых помещений по договорам социального найма и договорам найма жилых помещений муниципального  жилищного фонда.   </w:t>
      </w:r>
    </w:p>
    <w:p w:rsidR="00AD36F7" w:rsidRPr="00AD36F7" w:rsidRDefault="00AD36F7" w:rsidP="00AD36F7">
      <w:pPr>
        <w:ind w:firstLine="600"/>
        <w:jc w:val="both"/>
        <w:outlineLvl w:val="0"/>
        <w:rPr>
          <w:sz w:val="20"/>
          <w:szCs w:val="20"/>
        </w:rPr>
      </w:pPr>
      <w:r w:rsidRPr="00AD36F7">
        <w:rPr>
          <w:sz w:val="20"/>
          <w:szCs w:val="20"/>
        </w:rPr>
        <w:t>Экономическое содержание платы за наем состоит в компенсации инвестиционных затрат собственника на строительство и реконструкцию жилищного фонда, используемого для предоставления гражданам по договорам социального найма и договорам найма жилых помещений. Величина платы за наем устанавливается дифференцированно в зависимости от качества, благоустройства жилого помещения и местоположения дома.</w:t>
      </w:r>
    </w:p>
    <w:p w:rsidR="00AD36F7" w:rsidRPr="00AD36F7" w:rsidRDefault="00AD36F7" w:rsidP="00AD36F7">
      <w:pPr>
        <w:ind w:firstLine="600"/>
        <w:jc w:val="both"/>
        <w:outlineLvl w:val="0"/>
        <w:rPr>
          <w:sz w:val="20"/>
          <w:szCs w:val="20"/>
        </w:rPr>
      </w:pPr>
    </w:p>
    <w:p w:rsidR="00AD36F7" w:rsidRPr="00AD36F7" w:rsidRDefault="00AD36F7" w:rsidP="00AD36F7">
      <w:pPr>
        <w:autoSpaceDE w:val="0"/>
        <w:autoSpaceDN w:val="0"/>
        <w:adjustRightInd w:val="0"/>
        <w:ind w:firstLine="600"/>
        <w:jc w:val="center"/>
        <w:outlineLvl w:val="0"/>
        <w:rPr>
          <w:b/>
          <w:sz w:val="20"/>
          <w:szCs w:val="20"/>
        </w:rPr>
      </w:pPr>
      <w:r w:rsidRPr="00AD36F7">
        <w:rPr>
          <w:sz w:val="20"/>
          <w:szCs w:val="20"/>
        </w:rPr>
        <w:t>2.</w:t>
      </w:r>
      <w:r w:rsidRPr="00AD36F7">
        <w:rPr>
          <w:b/>
          <w:sz w:val="20"/>
          <w:szCs w:val="20"/>
        </w:rPr>
        <w:t xml:space="preserve"> Порядок определения размера платы за наем</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2.2. 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AD36F7" w:rsidRPr="00AD36F7" w:rsidRDefault="00AD36F7" w:rsidP="00AD36F7">
      <w:pPr>
        <w:shd w:val="clear" w:color="auto" w:fill="FFFFFF"/>
        <w:tabs>
          <w:tab w:val="left" w:pos="907"/>
        </w:tabs>
        <w:ind w:left="53" w:firstLine="600"/>
        <w:jc w:val="both"/>
        <w:rPr>
          <w:spacing w:val="-21"/>
          <w:sz w:val="20"/>
          <w:szCs w:val="20"/>
        </w:rPr>
      </w:pPr>
      <w:r w:rsidRPr="00AD36F7">
        <w:rPr>
          <w:sz w:val="20"/>
          <w:szCs w:val="20"/>
        </w:rPr>
        <w:t>2.3.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w:t>
      </w:r>
    </w:p>
    <w:p w:rsidR="00AD36F7" w:rsidRPr="00AD36F7" w:rsidRDefault="00AD36F7" w:rsidP="00AD36F7">
      <w:pPr>
        <w:shd w:val="clear" w:color="auto" w:fill="FFFFFF"/>
        <w:tabs>
          <w:tab w:val="left" w:pos="907"/>
        </w:tabs>
        <w:ind w:left="53" w:firstLine="600"/>
        <w:jc w:val="both"/>
        <w:rPr>
          <w:sz w:val="20"/>
          <w:szCs w:val="20"/>
        </w:rPr>
      </w:pPr>
      <w:r w:rsidRPr="00AD36F7">
        <w:rPr>
          <w:sz w:val="20"/>
          <w:szCs w:val="20"/>
        </w:rPr>
        <w:lastRenderedPageBreak/>
        <w:t>2.4.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проживающих в  отдельных комнатах общежитий, определяется исходя из площади этих комнат.</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2.5. Определение базовой ставки платы за наем жилого помещения производится исходя из среднего размера амортизации на полное восстановление жилищного фонда.</w:t>
      </w:r>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 xml:space="preserve">2.6. </w:t>
      </w:r>
      <w:proofErr w:type="gramStart"/>
      <w:r w:rsidRPr="00AD36F7">
        <w:rPr>
          <w:color w:val="000000"/>
          <w:sz w:val="20"/>
          <w:szCs w:val="20"/>
        </w:rPr>
        <w:t>При расчете базовой ставки платы за наем жилого помещения используется классификация жилых зданий по группам и нормы амортизационных отчислений в соответствии с «Едиными нормами амортизационных отчислений на полное восстановление основных фондов народного хозяйства СССР», утвержденными Постановлением Совета Министров СССР от 22.10. 1990 года № 1072 «О единых нормах амортизационных отчислений на полное восстановление основных фондов народного хозяйства СССР».</w:t>
      </w:r>
      <w:proofErr w:type="gramEnd"/>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 xml:space="preserve"> Жилищный фонд муниципального образования «</w:t>
      </w:r>
      <w:proofErr w:type="spellStart"/>
      <w:r w:rsidRPr="00AD36F7">
        <w:rPr>
          <w:color w:val="000000"/>
          <w:sz w:val="20"/>
          <w:szCs w:val="20"/>
        </w:rPr>
        <w:t>Новонукутское</w:t>
      </w:r>
      <w:proofErr w:type="spellEnd"/>
      <w:r w:rsidRPr="00AD36F7">
        <w:rPr>
          <w:color w:val="000000"/>
          <w:sz w:val="20"/>
          <w:szCs w:val="20"/>
        </w:rPr>
        <w:t xml:space="preserve">» подразделяется на </w:t>
      </w:r>
      <w:r w:rsidRPr="00AD36F7">
        <w:rPr>
          <w:sz w:val="20"/>
          <w:szCs w:val="20"/>
        </w:rPr>
        <w:t>трех групп</w:t>
      </w:r>
      <w:r w:rsidRPr="00AD36F7">
        <w:rPr>
          <w:color w:val="000000"/>
          <w:sz w:val="20"/>
          <w:szCs w:val="20"/>
        </w:rPr>
        <w:t xml:space="preserve"> жилых зданий по капитальности:</w:t>
      </w:r>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- 1 группа – жилые здания с кирпичными стенами;</w:t>
      </w:r>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- 2 группа – жилые здания с блочными (крупноблочными) стенами;</w:t>
      </w:r>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 xml:space="preserve">- 3 группа – жилые здания со стенами деревянными или смешанными </w:t>
      </w:r>
    </w:p>
    <w:p w:rsidR="00AD36F7" w:rsidRPr="00AD36F7" w:rsidRDefault="00AD36F7" w:rsidP="00AD36F7">
      <w:pPr>
        <w:autoSpaceDE w:val="0"/>
        <w:autoSpaceDN w:val="0"/>
        <w:adjustRightInd w:val="0"/>
        <w:ind w:firstLine="600"/>
        <w:jc w:val="both"/>
        <w:outlineLvl w:val="0"/>
        <w:rPr>
          <w:color w:val="000000"/>
          <w:sz w:val="20"/>
          <w:szCs w:val="20"/>
        </w:rPr>
      </w:pPr>
    </w:p>
    <w:p w:rsidR="00AD36F7" w:rsidRPr="00AD36F7" w:rsidRDefault="00AD36F7" w:rsidP="00AD36F7">
      <w:pPr>
        <w:autoSpaceDE w:val="0"/>
        <w:autoSpaceDN w:val="0"/>
        <w:adjustRightInd w:val="0"/>
        <w:ind w:firstLine="600"/>
        <w:jc w:val="both"/>
        <w:outlineLvl w:val="0"/>
        <w:rPr>
          <w:color w:val="000000"/>
          <w:sz w:val="20"/>
          <w:szCs w:val="20"/>
        </w:rPr>
      </w:pPr>
      <w:r w:rsidRPr="00AD36F7">
        <w:rPr>
          <w:color w:val="000000"/>
          <w:sz w:val="20"/>
          <w:szCs w:val="20"/>
        </w:rPr>
        <w:t>В каждой группе зданий по капитальности определяется норматив отчислений на полное восстановление 1 кв.м. общей площади жилого здания в месяц. Данная величина определяется по формуле:</w:t>
      </w:r>
    </w:p>
    <w:p w:rsidR="00AD36F7" w:rsidRPr="00AD36F7" w:rsidRDefault="00AD36F7" w:rsidP="00AD36F7">
      <w:pPr>
        <w:autoSpaceDE w:val="0"/>
        <w:autoSpaceDN w:val="0"/>
        <w:adjustRightInd w:val="0"/>
        <w:jc w:val="both"/>
        <w:outlineLvl w:val="0"/>
        <w:rPr>
          <w:color w:val="000000"/>
          <w:sz w:val="20"/>
          <w:szCs w:val="20"/>
        </w:rPr>
      </w:pP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roofErr w:type="gramStart"/>
      <w:r w:rsidRPr="00AD36F7">
        <w:rPr>
          <w:rFonts w:ascii="Times New Roman" w:hAnsi="Times New Roman" w:cs="Times New Roman"/>
        </w:rPr>
        <w:t>Б</w:t>
      </w:r>
      <w:proofErr w:type="gramEnd"/>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w:t>
      </w:r>
      <w:r w:rsidRPr="00AD36F7">
        <w:rPr>
          <w:rFonts w:ascii="Times New Roman" w:hAnsi="Times New Roman" w:cs="Times New Roman"/>
          <w:lang w:val="en-US"/>
        </w:rPr>
        <w:t>N</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А = -----------, где</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12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100</w:t>
      </w:r>
    </w:p>
    <w:p w:rsidR="00AD36F7" w:rsidRPr="00AD36F7" w:rsidRDefault="00AD36F7" w:rsidP="00AD36F7">
      <w:pPr>
        <w:pStyle w:val="ConsPlusNormal"/>
        <w:ind w:firstLine="540"/>
        <w:jc w:val="both"/>
        <w:rPr>
          <w:rFonts w:ascii="Times New Roman" w:hAnsi="Times New Roman" w:cs="Times New Roman"/>
        </w:rPr>
      </w:pP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А - средний размер ежемесячных амортизационных отчислений на полное восстановление жилищного фонда по отдельным группам капитальности жилых зданий в расчете на 1 кв. м общей площади (в рублях);</w:t>
      </w:r>
    </w:p>
    <w:p w:rsidR="00AD36F7" w:rsidRPr="00AD36F7" w:rsidRDefault="00AD36F7" w:rsidP="00AD36F7">
      <w:pPr>
        <w:pStyle w:val="ConsPlusNormal"/>
        <w:ind w:firstLine="539"/>
        <w:jc w:val="both"/>
        <w:rPr>
          <w:rFonts w:ascii="Times New Roman" w:hAnsi="Times New Roman" w:cs="Times New Roman"/>
        </w:rPr>
      </w:pPr>
      <w:proofErr w:type="gramStart"/>
      <w:r w:rsidRPr="00AD36F7">
        <w:rPr>
          <w:rFonts w:ascii="Times New Roman" w:hAnsi="Times New Roman" w:cs="Times New Roman"/>
        </w:rPr>
        <w:t>Б</w:t>
      </w:r>
      <w:proofErr w:type="gramEnd"/>
      <w:r w:rsidRPr="00AD36F7">
        <w:rPr>
          <w:rFonts w:ascii="Times New Roman" w:hAnsi="Times New Roman" w:cs="Times New Roman"/>
        </w:rPr>
        <w:t xml:space="preserve"> - средняя балансовая стоимость 1 кв. м общей площади в каждой группе жилых зданий по капитальности в действующих ценах (в рублях);</w:t>
      </w: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12 - количество месяцев в году;</w:t>
      </w: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N - годовая норма амортизационных отчислений (в процентах) на полное восстановление зданий по каждой группе капитальности составляет:</w:t>
      </w: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1 группа - 0,7 процента;</w:t>
      </w: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2 группа - 0,8 процента;</w:t>
      </w:r>
    </w:p>
    <w:p w:rsidR="00AD36F7" w:rsidRPr="00AD36F7" w:rsidRDefault="00AD36F7" w:rsidP="00AD36F7">
      <w:pPr>
        <w:pStyle w:val="ConsPlusNormal"/>
        <w:ind w:firstLine="539"/>
        <w:jc w:val="both"/>
        <w:rPr>
          <w:rFonts w:ascii="Times New Roman" w:hAnsi="Times New Roman" w:cs="Times New Roman"/>
        </w:rPr>
      </w:pPr>
      <w:r w:rsidRPr="00AD36F7">
        <w:rPr>
          <w:rFonts w:ascii="Times New Roman" w:hAnsi="Times New Roman" w:cs="Times New Roman"/>
        </w:rPr>
        <w:t>3 группа – 2,0 процента</w:t>
      </w:r>
    </w:p>
    <w:p w:rsidR="00AD36F7" w:rsidRPr="00AD36F7" w:rsidRDefault="00AD36F7" w:rsidP="00AD36F7">
      <w:pPr>
        <w:pStyle w:val="ConsPlusNormal"/>
        <w:ind w:firstLine="540"/>
        <w:jc w:val="both"/>
        <w:rPr>
          <w:rFonts w:ascii="Times New Roman" w:hAnsi="Times New Roman" w:cs="Times New Roman"/>
        </w:rPr>
      </w:pP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2.7. Базовая ставка платы за наем жилого помещения рассчитывается по формуле:</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
    <w:p w:rsidR="00AD36F7" w:rsidRPr="00AD36F7" w:rsidRDefault="00AD36F7" w:rsidP="00AD36F7">
      <w:pPr>
        <w:pStyle w:val="ConsPlusNonformat"/>
        <w:ind w:firstLine="540"/>
        <w:rPr>
          <w:rFonts w:ascii="Times New Roman" w:hAnsi="Times New Roman" w:cs="Times New Roman"/>
        </w:rPr>
      </w:pPr>
      <w:r w:rsidRPr="00AD36F7">
        <w:rPr>
          <w:rFonts w:ascii="Times New Roman" w:hAnsi="Times New Roman" w:cs="Times New Roman"/>
        </w:rPr>
        <w:t xml:space="preserve">      А </w:t>
      </w:r>
      <w:r w:rsidRPr="00AD36F7">
        <w:rPr>
          <w:rFonts w:ascii="Times New Roman" w:hAnsi="Times New Roman" w:cs="Times New Roman"/>
          <w:vertAlign w:val="subscript"/>
        </w:rPr>
        <w:t>1</w:t>
      </w:r>
      <w:r w:rsidRPr="00AD36F7">
        <w:rPr>
          <w:rFonts w:ascii="Times New Roman" w:hAnsi="Times New Roman" w:cs="Times New Roman"/>
        </w:rPr>
        <w:t xml:space="preserve"> </w:t>
      </w:r>
      <w:r w:rsidRPr="00AD36F7">
        <w:rPr>
          <w:rFonts w:ascii="Times New Roman" w:hAnsi="Times New Roman" w:cs="Times New Roman"/>
          <w:lang w:val="en-US"/>
        </w:rPr>
        <w:t>x</w:t>
      </w:r>
      <w:r w:rsidRPr="00AD36F7">
        <w:rPr>
          <w:rFonts w:ascii="Times New Roman" w:hAnsi="Times New Roman" w:cs="Times New Roman"/>
        </w:rPr>
        <w:t xml:space="preserve"> </w:t>
      </w:r>
      <w:r w:rsidRPr="00AD36F7">
        <w:rPr>
          <w:rFonts w:ascii="Times New Roman" w:hAnsi="Times New Roman" w:cs="Times New Roman"/>
          <w:lang w:val="en-US"/>
        </w:rPr>
        <w:t>S</w:t>
      </w:r>
      <w:r w:rsidRPr="00AD36F7">
        <w:rPr>
          <w:rFonts w:ascii="Times New Roman" w:hAnsi="Times New Roman" w:cs="Times New Roman"/>
          <w:vertAlign w:val="subscript"/>
        </w:rPr>
        <w:t>1</w:t>
      </w:r>
      <w:proofErr w:type="gramStart"/>
      <w:r w:rsidRPr="00AD36F7">
        <w:rPr>
          <w:rFonts w:ascii="Times New Roman" w:hAnsi="Times New Roman" w:cs="Times New Roman"/>
        </w:rPr>
        <w:t xml:space="preserve">  + А</w:t>
      </w:r>
      <w:proofErr w:type="gramEnd"/>
      <w:r w:rsidRPr="00AD36F7">
        <w:rPr>
          <w:rFonts w:ascii="Times New Roman" w:hAnsi="Times New Roman" w:cs="Times New Roman"/>
        </w:rPr>
        <w:t xml:space="preserve"> </w:t>
      </w:r>
      <w:r w:rsidRPr="00AD36F7">
        <w:rPr>
          <w:rFonts w:ascii="Times New Roman" w:hAnsi="Times New Roman" w:cs="Times New Roman"/>
          <w:vertAlign w:val="subscript"/>
        </w:rPr>
        <w:t>2</w:t>
      </w:r>
      <w:r w:rsidRPr="00AD36F7">
        <w:rPr>
          <w:rFonts w:ascii="Times New Roman" w:hAnsi="Times New Roman" w:cs="Times New Roman"/>
        </w:rPr>
        <w:t xml:space="preserve"> </w:t>
      </w:r>
      <w:r w:rsidRPr="00AD36F7">
        <w:rPr>
          <w:rFonts w:ascii="Times New Roman" w:hAnsi="Times New Roman" w:cs="Times New Roman"/>
          <w:lang w:val="en-US"/>
        </w:rPr>
        <w:t>x</w:t>
      </w:r>
      <w:r w:rsidRPr="00AD36F7">
        <w:rPr>
          <w:rFonts w:ascii="Times New Roman" w:hAnsi="Times New Roman" w:cs="Times New Roman"/>
        </w:rPr>
        <w:t xml:space="preserve"> </w:t>
      </w:r>
      <w:r w:rsidRPr="00AD36F7">
        <w:rPr>
          <w:rFonts w:ascii="Times New Roman" w:hAnsi="Times New Roman" w:cs="Times New Roman"/>
          <w:lang w:val="en-US"/>
        </w:rPr>
        <w:t>S</w:t>
      </w:r>
      <w:r w:rsidRPr="00AD36F7">
        <w:rPr>
          <w:rFonts w:ascii="Times New Roman" w:hAnsi="Times New Roman" w:cs="Times New Roman"/>
          <w:vertAlign w:val="subscript"/>
        </w:rPr>
        <w:t xml:space="preserve">2 </w:t>
      </w:r>
      <w:r w:rsidRPr="00AD36F7">
        <w:rPr>
          <w:rFonts w:ascii="Times New Roman" w:hAnsi="Times New Roman" w:cs="Times New Roman"/>
        </w:rPr>
        <w:t xml:space="preserve"> + А </w:t>
      </w:r>
      <w:r w:rsidRPr="00AD36F7">
        <w:rPr>
          <w:rFonts w:ascii="Times New Roman" w:hAnsi="Times New Roman" w:cs="Times New Roman"/>
          <w:vertAlign w:val="subscript"/>
        </w:rPr>
        <w:t>3</w:t>
      </w:r>
      <w:r w:rsidRPr="00AD36F7">
        <w:rPr>
          <w:rFonts w:ascii="Times New Roman" w:hAnsi="Times New Roman" w:cs="Times New Roman"/>
        </w:rPr>
        <w:t xml:space="preserve"> </w:t>
      </w:r>
      <w:r w:rsidRPr="00AD36F7">
        <w:rPr>
          <w:rFonts w:ascii="Times New Roman" w:hAnsi="Times New Roman" w:cs="Times New Roman"/>
          <w:lang w:val="en-US"/>
        </w:rPr>
        <w:t>x</w:t>
      </w:r>
      <w:r w:rsidRPr="00AD36F7">
        <w:rPr>
          <w:rFonts w:ascii="Times New Roman" w:hAnsi="Times New Roman" w:cs="Times New Roman"/>
        </w:rPr>
        <w:t xml:space="preserve"> </w:t>
      </w:r>
      <w:r w:rsidRPr="00AD36F7">
        <w:rPr>
          <w:rFonts w:ascii="Times New Roman" w:hAnsi="Times New Roman" w:cs="Times New Roman"/>
          <w:lang w:val="en-US"/>
        </w:rPr>
        <w:t>S</w:t>
      </w:r>
      <w:r w:rsidRPr="00AD36F7">
        <w:rPr>
          <w:rFonts w:ascii="Times New Roman" w:hAnsi="Times New Roman" w:cs="Times New Roman"/>
          <w:vertAlign w:val="subscript"/>
        </w:rPr>
        <w:t>3</w:t>
      </w:r>
      <w:r w:rsidRPr="00AD36F7">
        <w:rPr>
          <w:rFonts w:ascii="Times New Roman" w:hAnsi="Times New Roman" w:cs="Times New Roman"/>
        </w:rPr>
        <w:t xml:space="preserve">  </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roofErr w:type="spellStart"/>
      <w:r w:rsidRPr="00AD36F7">
        <w:rPr>
          <w:rFonts w:ascii="Times New Roman" w:hAnsi="Times New Roman" w:cs="Times New Roman"/>
        </w:rPr>
        <w:t>Н</w:t>
      </w:r>
      <w:r w:rsidRPr="00AD36F7">
        <w:rPr>
          <w:rFonts w:ascii="Times New Roman" w:hAnsi="Times New Roman" w:cs="Times New Roman"/>
          <w:vertAlign w:val="subscript"/>
        </w:rPr>
        <w:t>б</w:t>
      </w:r>
      <w:proofErr w:type="spellEnd"/>
      <w:r w:rsidRPr="00AD36F7">
        <w:rPr>
          <w:rFonts w:ascii="Times New Roman" w:hAnsi="Times New Roman" w:cs="Times New Roman"/>
        </w:rPr>
        <w:t xml:space="preserve">  = ------------------------------------------------, </w:t>
      </w:r>
      <w:r w:rsidRPr="00AD36F7">
        <w:rPr>
          <w:rFonts w:ascii="Times New Roman" w:hAnsi="Times New Roman" w:cs="Times New Roman"/>
        </w:rPr>
        <w:tab/>
      </w:r>
      <w:r w:rsidRPr="00AD36F7">
        <w:rPr>
          <w:rFonts w:ascii="Times New Roman" w:hAnsi="Times New Roman" w:cs="Times New Roman"/>
        </w:rPr>
        <w:tab/>
        <w:t xml:space="preserve">где </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roofErr w:type="gramStart"/>
      <w:r w:rsidRPr="00AD36F7">
        <w:rPr>
          <w:rFonts w:ascii="Times New Roman" w:hAnsi="Times New Roman" w:cs="Times New Roman"/>
          <w:lang w:val="en-US"/>
        </w:rPr>
        <w:t>S</w:t>
      </w:r>
      <w:r w:rsidRPr="00AD36F7">
        <w:rPr>
          <w:rFonts w:ascii="Times New Roman" w:hAnsi="Times New Roman" w:cs="Times New Roman"/>
          <w:vertAlign w:val="subscript"/>
        </w:rPr>
        <w:t>1</w:t>
      </w:r>
      <w:r w:rsidRPr="00AD36F7">
        <w:rPr>
          <w:rFonts w:ascii="Times New Roman" w:hAnsi="Times New Roman" w:cs="Times New Roman"/>
        </w:rPr>
        <w:t xml:space="preserve">  +</w:t>
      </w:r>
      <w:proofErr w:type="gramEnd"/>
      <w:r w:rsidRPr="00AD36F7">
        <w:rPr>
          <w:rFonts w:ascii="Times New Roman" w:hAnsi="Times New Roman" w:cs="Times New Roman"/>
        </w:rPr>
        <w:t xml:space="preserve"> </w:t>
      </w:r>
      <w:r w:rsidRPr="00AD36F7">
        <w:rPr>
          <w:rFonts w:ascii="Times New Roman" w:hAnsi="Times New Roman" w:cs="Times New Roman"/>
          <w:lang w:val="en-US"/>
        </w:rPr>
        <w:t>S</w:t>
      </w:r>
      <w:r w:rsidRPr="00AD36F7">
        <w:rPr>
          <w:rFonts w:ascii="Times New Roman" w:hAnsi="Times New Roman" w:cs="Times New Roman"/>
          <w:vertAlign w:val="subscript"/>
        </w:rPr>
        <w:t xml:space="preserve">2 </w:t>
      </w:r>
      <w:r w:rsidRPr="00AD36F7">
        <w:rPr>
          <w:rFonts w:ascii="Times New Roman" w:hAnsi="Times New Roman" w:cs="Times New Roman"/>
        </w:rPr>
        <w:t xml:space="preserve"> + </w:t>
      </w:r>
      <w:r w:rsidRPr="00AD36F7">
        <w:rPr>
          <w:rFonts w:ascii="Times New Roman" w:hAnsi="Times New Roman" w:cs="Times New Roman"/>
          <w:lang w:val="en-US"/>
        </w:rPr>
        <w:t>S</w:t>
      </w:r>
      <w:r w:rsidRPr="00AD36F7">
        <w:rPr>
          <w:rFonts w:ascii="Times New Roman" w:hAnsi="Times New Roman" w:cs="Times New Roman"/>
          <w:vertAlign w:val="subscript"/>
        </w:rPr>
        <w:t>3</w:t>
      </w:r>
      <w:r w:rsidRPr="00AD36F7">
        <w:rPr>
          <w:rFonts w:ascii="Times New Roman" w:hAnsi="Times New Roman" w:cs="Times New Roman"/>
        </w:rPr>
        <w:t xml:space="preserve">  </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w:t>
      </w:r>
      <w:proofErr w:type="spellStart"/>
      <w:r w:rsidRPr="00AD36F7">
        <w:rPr>
          <w:rFonts w:ascii="Times New Roman" w:hAnsi="Times New Roman" w:cs="Times New Roman"/>
        </w:rPr>
        <w:t>Н</w:t>
      </w:r>
      <w:r w:rsidRPr="00AD36F7">
        <w:rPr>
          <w:rFonts w:ascii="Times New Roman" w:hAnsi="Times New Roman" w:cs="Times New Roman"/>
          <w:vertAlign w:val="subscript"/>
        </w:rPr>
        <w:t>б</w:t>
      </w:r>
      <w:proofErr w:type="spellEnd"/>
      <w:r w:rsidRPr="00AD36F7">
        <w:rPr>
          <w:rFonts w:ascii="Times New Roman" w:hAnsi="Times New Roman" w:cs="Times New Roman"/>
        </w:rPr>
        <w:t xml:space="preserve">  - базовая  ставка  платы  за  наем  в  расчете  на  1 кв. м  в месяц;</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А </w:t>
      </w:r>
      <w:r w:rsidRPr="00AD36F7">
        <w:rPr>
          <w:rFonts w:ascii="Times New Roman" w:hAnsi="Times New Roman" w:cs="Times New Roman"/>
          <w:vertAlign w:val="subscript"/>
        </w:rPr>
        <w:t>1</w:t>
      </w:r>
      <w:r w:rsidRPr="00AD36F7">
        <w:rPr>
          <w:rFonts w:ascii="Times New Roman" w:hAnsi="Times New Roman" w:cs="Times New Roman"/>
        </w:rPr>
        <w:t xml:space="preserve">, А </w:t>
      </w:r>
      <w:r w:rsidRPr="00AD36F7">
        <w:rPr>
          <w:rFonts w:ascii="Times New Roman" w:hAnsi="Times New Roman" w:cs="Times New Roman"/>
          <w:vertAlign w:val="subscript"/>
        </w:rPr>
        <w:t>2</w:t>
      </w:r>
      <w:r w:rsidRPr="00AD36F7">
        <w:rPr>
          <w:rFonts w:ascii="Times New Roman" w:hAnsi="Times New Roman" w:cs="Times New Roman"/>
        </w:rPr>
        <w:t>, А</w:t>
      </w:r>
      <w:r w:rsidRPr="00AD36F7">
        <w:rPr>
          <w:rFonts w:ascii="Times New Roman" w:hAnsi="Times New Roman" w:cs="Times New Roman"/>
          <w:vertAlign w:val="subscript"/>
        </w:rPr>
        <w:t>3</w:t>
      </w:r>
      <w:r w:rsidRPr="00AD36F7">
        <w:rPr>
          <w:rFonts w:ascii="Times New Roman" w:hAnsi="Times New Roman" w:cs="Times New Roman"/>
        </w:rPr>
        <w:t xml:space="preserve">  - средний размер амортизационных отчислений по каждой группе зданий;</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S</w:t>
      </w:r>
      <w:r w:rsidRPr="00AD36F7">
        <w:rPr>
          <w:rFonts w:ascii="Times New Roman" w:hAnsi="Times New Roman" w:cs="Times New Roman"/>
          <w:vertAlign w:val="subscript"/>
        </w:rPr>
        <w:t>1</w:t>
      </w:r>
      <w:r w:rsidRPr="00AD36F7">
        <w:rPr>
          <w:rFonts w:ascii="Times New Roman" w:hAnsi="Times New Roman" w:cs="Times New Roman"/>
        </w:rPr>
        <w:t xml:space="preserve"> , S</w:t>
      </w:r>
      <w:r w:rsidRPr="00AD36F7">
        <w:rPr>
          <w:rFonts w:ascii="Times New Roman" w:hAnsi="Times New Roman" w:cs="Times New Roman"/>
          <w:vertAlign w:val="subscript"/>
        </w:rPr>
        <w:t>2</w:t>
      </w:r>
      <w:r w:rsidRPr="00AD36F7">
        <w:rPr>
          <w:rFonts w:ascii="Times New Roman" w:hAnsi="Times New Roman" w:cs="Times New Roman"/>
        </w:rPr>
        <w:t xml:space="preserve"> , S</w:t>
      </w:r>
      <w:r w:rsidRPr="00AD36F7">
        <w:rPr>
          <w:rFonts w:ascii="Times New Roman" w:hAnsi="Times New Roman" w:cs="Times New Roman"/>
          <w:vertAlign w:val="subscript"/>
        </w:rPr>
        <w:t>3</w:t>
      </w:r>
      <w:r w:rsidRPr="00AD36F7">
        <w:rPr>
          <w:rFonts w:ascii="Times New Roman" w:hAnsi="Times New Roman" w:cs="Times New Roman"/>
        </w:rPr>
        <w:t xml:space="preserve">  - общая   площадь  жилых  зданий  по каждой группе зданий.</w:t>
      </w:r>
    </w:p>
    <w:p w:rsidR="00AD36F7" w:rsidRPr="00AD36F7" w:rsidRDefault="00AD36F7" w:rsidP="00AD36F7">
      <w:pPr>
        <w:pStyle w:val="ConsPlusNonformat"/>
        <w:rPr>
          <w:rFonts w:ascii="Times New Roman" w:hAnsi="Times New Roman" w:cs="Times New Roman"/>
        </w:rPr>
      </w:pPr>
    </w:p>
    <w:p w:rsidR="00AD36F7" w:rsidRPr="00AD36F7" w:rsidRDefault="00AD36F7" w:rsidP="00AD36F7">
      <w:pPr>
        <w:autoSpaceDE w:val="0"/>
        <w:autoSpaceDN w:val="0"/>
        <w:adjustRightInd w:val="0"/>
        <w:ind w:firstLine="709"/>
        <w:jc w:val="both"/>
        <w:outlineLvl w:val="0"/>
        <w:rPr>
          <w:sz w:val="20"/>
          <w:szCs w:val="20"/>
        </w:rPr>
      </w:pPr>
      <w:r w:rsidRPr="00AD36F7">
        <w:rPr>
          <w:sz w:val="20"/>
          <w:szCs w:val="20"/>
        </w:rPr>
        <w:t>2.7. При расчете размера платы за наем жилого помещения применяются следующие корректирующие коэффициенты:</w:t>
      </w:r>
    </w:p>
    <w:p w:rsidR="00AD36F7" w:rsidRPr="00AD36F7" w:rsidRDefault="00AD36F7" w:rsidP="00AD36F7">
      <w:pPr>
        <w:autoSpaceDE w:val="0"/>
        <w:autoSpaceDN w:val="0"/>
        <w:adjustRightInd w:val="0"/>
        <w:ind w:left="708"/>
        <w:jc w:val="both"/>
        <w:outlineLvl w:val="0"/>
        <w:rPr>
          <w:sz w:val="20"/>
          <w:szCs w:val="20"/>
        </w:rPr>
      </w:pPr>
      <w:r w:rsidRPr="00AD36F7">
        <w:rPr>
          <w:sz w:val="20"/>
          <w:szCs w:val="20"/>
        </w:rPr>
        <w:t>- коэффициенты потребительских свойств жилого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327"/>
        <w:gridCol w:w="3002"/>
      </w:tblGrid>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1</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Материал стен дома</w:t>
            </w:r>
          </w:p>
        </w:tc>
        <w:tc>
          <w:tcPr>
            <w:tcW w:w="3002"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кирпич</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1,1</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Железобетонные панели и блоки, монолит</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Древесина и прочие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0,9</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2</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Износ здания</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Для домов, имеющих износ до 30%</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rPr>
                <w:sz w:val="20"/>
                <w:szCs w:val="20"/>
              </w:rPr>
            </w:pPr>
            <w:r w:rsidRPr="00AD36F7">
              <w:rPr>
                <w:sz w:val="20"/>
                <w:szCs w:val="20"/>
              </w:rPr>
              <w:t>Для домов, имеющих износ от 30% до 60%</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rPr>
                <w:sz w:val="20"/>
                <w:szCs w:val="20"/>
              </w:rPr>
            </w:pPr>
            <w:r w:rsidRPr="00AD36F7">
              <w:rPr>
                <w:sz w:val="20"/>
                <w:szCs w:val="20"/>
              </w:rPr>
              <w:t xml:space="preserve">Для домов, имеющих износ более 60% </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r w:rsidRPr="00AD36F7">
              <w:rPr>
                <w:b/>
                <w:sz w:val="20"/>
                <w:szCs w:val="20"/>
                <w:vertAlign w:val="subscript"/>
              </w:rPr>
              <w:t>3</w:t>
            </w:r>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Год постройки дома</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Дома до 1956 года постройки</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0,4</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Дома периода 1957 по 1979 годы</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0,75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Стандартная застройка с 1970 до 1985 года включительно</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Кирпичная и панельная застройка и дома улучшенной планировки с 1986 по 1992 год включительно</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1,25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Кирпичная и панельная застройка и дома улучшенной планировки с 1992 года</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2,0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4</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 потребительских свойств жилого помещения</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Отдельная квартира</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Отдельные комнаты в общежитии</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0,75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lastRenderedPageBreak/>
              <w:t>К</w:t>
            </w:r>
            <w:r w:rsidRPr="00AD36F7">
              <w:rPr>
                <w:b/>
                <w:sz w:val="20"/>
                <w:szCs w:val="20"/>
                <w:vertAlign w:val="subscript"/>
              </w:rPr>
              <w:t>5</w:t>
            </w:r>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 наличия теплоснабжения</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наличие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отсутствие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6</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 учитывающий наличие централизованной канализации</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наличие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отсутствие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7</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 учитывающий наличие питьевого водоснабжения в доме</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наличие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отсутствие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r w:rsidRPr="00AD36F7">
              <w:rPr>
                <w:b/>
                <w:sz w:val="20"/>
                <w:szCs w:val="20"/>
                <w:vertAlign w:val="subscript"/>
              </w:rPr>
              <w:t>8</w:t>
            </w:r>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Планировка жилого помещения</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улучшенной планировки</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остальные</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0,8</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w:t>
            </w:r>
            <w:proofErr w:type="gramStart"/>
            <w:r w:rsidRPr="00AD36F7">
              <w:rPr>
                <w:b/>
                <w:sz w:val="20"/>
                <w:szCs w:val="20"/>
                <w:vertAlign w:val="subscript"/>
              </w:rPr>
              <w:t>9</w:t>
            </w:r>
            <w:proofErr w:type="gramEnd"/>
          </w:p>
        </w:tc>
        <w:tc>
          <w:tcPr>
            <w:tcW w:w="5327" w:type="dxa"/>
          </w:tcPr>
          <w:p w:rsidR="00AD36F7" w:rsidRPr="00AD36F7" w:rsidRDefault="00AD36F7" w:rsidP="00AD36F7">
            <w:pPr>
              <w:autoSpaceDE w:val="0"/>
              <w:autoSpaceDN w:val="0"/>
              <w:adjustRightInd w:val="0"/>
              <w:jc w:val="both"/>
              <w:outlineLvl w:val="0"/>
              <w:rPr>
                <w:b/>
                <w:sz w:val="20"/>
                <w:szCs w:val="20"/>
              </w:rPr>
            </w:pPr>
            <w:r w:rsidRPr="00AD36F7">
              <w:rPr>
                <w:b/>
                <w:sz w:val="20"/>
                <w:szCs w:val="20"/>
              </w:rPr>
              <w:t>Коэффициент, потребительских свойств жилого помещения</w:t>
            </w:r>
          </w:p>
        </w:tc>
        <w:tc>
          <w:tcPr>
            <w:tcW w:w="3002" w:type="dxa"/>
          </w:tcPr>
          <w:p w:rsidR="00AD36F7" w:rsidRPr="00AD36F7" w:rsidRDefault="00AD36F7" w:rsidP="00AD36F7">
            <w:pPr>
              <w:autoSpaceDE w:val="0"/>
              <w:autoSpaceDN w:val="0"/>
              <w:adjustRightInd w:val="0"/>
              <w:jc w:val="both"/>
              <w:outlineLvl w:val="0"/>
              <w:rPr>
                <w:b/>
                <w:sz w:val="20"/>
                <w:szCs w:val="20"/>
              </w:rPr>
            </w:pP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 xml:space="preserve">Поселок </w:t>
            </w:r>
            <w:proofErr w:type="spellStart"/>
            <w:r w:rsidRPr="00AD36F7">
              <w:rPr>
                <w:sz w:val="20"/>
                <w:szCs w:val="20"/>
              </w:rPr>
              <w:t>Новонукутский</w:t>
            </w:r>
            <w:proofErr w:type="spellEnd"/>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1,0</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r w:rsidRPr="00AD36F7">
              <w:rPr>
                <w:sz w:val="20"/>
                <w:szCs w:val="20"/>
              </w:rPr>
              <w:t>с</w:t>
            </w:r>
            <w:proofErr w:type="gramStart"/>
            <w:r w:rsidRPr="00AD36F7">
              <w:rPr>
                <w:sz w:val="20"/>
                <w:szCs w:val="20"/>
              </w:rPr>
              <w:t>.З</w:t>
            </w:r>
            <w:proofErr w:type="gramEnd"/>
            <w:r w:rsidRPr="00AD36F7">
              <w:rPr>
                <w:sz w:val="20"/>
                <w:szCs w:val="20"/>
              </w:rPr>
              <w:t>аречный</w:t>
            </w:r>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0,5</w:t>
            </w:r>
          </w:p>
        </w:tc>
      </w:tr>
      <w:tr w:rsidR="00AD36F7" w:rsidRPr="00AD36F7" w:rsidTr="006D663B">
        <w:tc>
          <w:tcPr>
            <w:tcW w:w="1276" w:type="dxa"/>
          </w:tcPr>
          <w:p w:rsidR="00AD36F7" w:rsidRPr="00AD36F7" w:rsidRDefault="00AD36F7" w:rsidP="00AD36F7">
            <w:pPr>
              <w:autoSpaceDE w:val="0"/>
              <w:autoSpaceDN w:val="0"/>
              <w:adjustRightInd w:val="0"/>
              <w:jc w:val="both"/>
              <w:outlineLvl w:val="0"/>
              <w:rPr>
                <w:sz w:val="20"/>
                <w:szCs w:val="20"/>
              </w:rPr>
            </w:pPr>
          </w:p>
        </w:tc>
        <w:tc>
          <w:tcPr>
            <w:tcW w:w="5327" w:type="dxa"/>
          </w:tcPr>
          <w:p w:rsidR="00AD36F7" w:rsidRPr="00AD36F7" w:rsidRDefault="00AD36F7" w:rsidP="00AD36F7">
            <w:pPr>
              <w:autoSpaceDE w:val="0"/>
              <w:autoSpaceDN w:val="0"/>
              <w:adjustRightInd w:val="0"/>
              <w:jc w:val="both"/>
              <w:outlineLvl w:val="0"/>
              <w:rPr>
                <w:sz w:val="20"/>
                <w:szCs w:val="20"/>
              </w:rPr>
            </w:pPr>
            <w:proofErr w:type="spellStart"/>
            <w:r w:rsidRPr="00AD36F7">
              <w:rPr>
                <w:sz w:val="20"/>
                <w:szCs w:val="20"/>
              </w:rPr>
              <w:t>д</w:t>
            </w:r>
            <w:proofErr w:type="gramStart"/>
            <w:r w:rsidRPr="00AD36F7">
              <w:rPr>
                <w:sz w:val="20"/>
                <w:szCs w:val="20"/>
              </w:rPr>
              <w:t>.Т</w:t>
            </w:r>
            <w:proofErr w:type="gramEnd"/>
            <w:r w:rsidRPr="00AD36F7">
              <w:rPr>
                <w:sz w:val="20"/>
                <w:szCs w:val="20"/>
              </w:rPr>
              <w:t>атхал-Онгой</w:t>
            </w:r>
            <w:proofErr w:type="spellEnd"/>
          </w:p>
        </w:tc>
        <w:tc>
          <w:tcPr>
            <w:tcW w:w="3002" w:type="dxa"/>
          </w:tcPr>
          <w:p w:rsidR="00AD36F7" w:rsidRPr="00AD36F7" w:rsidRDefault="00AD36F7" w:rsidP="00AD36F7">
            <w:pPr>
              <w:autoSpaceDE w:val="0"/>
              <w:autoSpaceDN w:val="0"/>
              <w:adjustRightInd w:val="0"/>
              <w:jc w:val="both"/>
              <w:outlineLvl w:val="0"/>
              <w:rPr>
                <w:sz w:val="20"/>
                <w:szCs w:val="20"/>
              </w:rPr>
            </w:pPr>
            <w:r w:rsidRPr="00AD36F7">
              <w:rPr>
                <w:sz w:val="20"/>
                <w:szCs w:val="20"/>
              </w:rPr>
              <w:t>0,9</w:t>
            </w:r>
          </w:p>
        </w:tc>
      </w:tr>
    </w:tbl>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2.8. Расчет платежей населения за наем.</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 xml:space="preserve">Размер платы за наем жилых помещений определяется исходя из размера базовой ставки платы за </w:t>
      </w:r>
      <w:proofErr w:type="spellStart"/>
      <w:r w:rsidRPr="00AD36F7">
        <w:rPr>
          <w:rFonts w:ascii="Times New Roman" w:hAnsi="Times New Roman" w:cs="Times New Roman"/>
        </w:rPr>
        <w:t>найм</w:t>
      </w:r>
      <w:proofErr w:type="spellEnd"/>
      <w:r w:rsidRPr="00AD36F7">
        <w:rPr>
          <w:rFonts w:ascii="Times New Roman" w:hAnsi="Times New Roman" w:cs="Times New Roman"/>
        </w:rPr>
        <w:t xml:space="preserve"> с применением корректирующих коэффициентов и расчетной площади жилого помещения.</w:t>
      </w:r>
    </w:p>
    <w:p w:rsidR="00AD36F7" w:rsidRPr="00AD36F7" w:rsidRDefault="00AD36F7" w:rsidP="00AD36F7">
      <w:pPr>
        <w:pStyle w:val="ConsPlusNormal"/>
        <w:ind w:firstLine="540"/>
        <w:jc w:val="both"/>
        <w:rPr>
          <w:rFonts w:ascii="Times New Roman" w:hAnsi="Times New Roman" w:cs="Times New Roman"/>
        </w:rPr>
      </w:pP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Н = </w:t>
      </w:r>
      <w:proofErr w:type="spellStart"/>
      <w:r w:rsidRPr="00AD36F7">
        <w:rPr>
          <w:rFonts w:ascii="Times New Roman" w:hAnsi="Times New Roman" w:cs="Times New Roman"/>
        </w:rPr>
        <w:t>Н</w:t>
      </w:r>
      <w:r w:rsidRPr="00AD36F7">
        <w:rPr>
          <w:rFonts w:ascii="Times New Roman" w:hAnsi="Times New Roman" w:cs="Times New Roman"/>
          <w:vertAlign w:val="subscript"/>
        </w:rPr>
        <w:t>б</w:t>
      </w:r>
      <w:proofErr w:type="spellEnd"/>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1</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proofErr w:type="gramStart"/>
      <w:r w:rsidRPr="00AD36F7">
        <w:rPr>
          <w:rFonts w:ascii="Times New Roman" w:hAnsi="Times New Roman" w:cs="Times New Roman"/>
        </w:rPr>
        <w:t xml:space="preserve"> К</w:t>
      </w:r>
      <w:proofErr w:type="gramEnd"/>
      <w:r w:rsidRPr="00AD36F7">
        <w:rPr>
          <w:rFonts w:ascii="Times New Roman" w:hAnsi="Times New Roman" w:cs="Times New Roman"/>
        </w:rPr>
        <w:t xml:space="preserve"> </w:t>
      </w:r>
      <w:r w:rsidRPr="00AD36F7">
        <w:rPr>
          <w:rFonts w:ascii="Times New Roman" w:hAnsi="Times New Roman" w:cs="Times New Roman"/>
          <w:vertAlign w:val="subscript"/>
        </w:rPr>
        <w:t>2</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3</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 </w:t>
      </w:r>
      <w:r w:rsidRPr="00AD36F7">
        <w:rPr>
          <w:rFonts w:ascii="Times New Roman" w:hAnsi="Times New Roman" w:cs="Times New Roman"/>
          <w:vertAlign w:val="subscript"/>
        </w:rPr>
        <w:t>4</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5</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6</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7</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8</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К</w:t>
      </w:r>
      <w:r w:rsidRPr="00AD36F7">
        <w:rPr>
          <w:rFonts w:ascii="Times New Roman" w:hAnsi="Times New Roman" w:cs="Times New Roman"/>
          <w:vertAlign w:val="subscript"/>
        </w:rPr>
        <w:t>9</w:t>
      </w:r>
      <w:r w:rsidRPr="00AD36F7">
        <w:rPr>
          <w:rFonts w:ascii="Times New Roman" w:hAnsi="Times New Roman" w:cs="Times New Roman"/>
        </w:rPr>
        <w:t xml:space="preserve">  </w:t>
      </w:r>
      <w:proofErr w:type="spellStart"/>
      <w:r w:rsidRPr="00AD36F7">
        <w:rPr>
          <w:rFonts w:ascii="Times New Roman" w:hAnsi="Times New Roman" w:cs="Times New Roman"/>
        </w:rPr>
        <w:t>x</w:t>
      </w:r>
      <w:proofErr w:type="spellEnd"/>
      <w:r w:rsidRPr="00AD36F7">
        <w:rPr>
          <w:rFonts w:ascii="Times New Roman" w:hAnsi="Times New Roman" w:cs="Times New Roman"/>
        </w:rPr>
        <w:t xml:space="preserve"> S,</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где</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Н - размер платы за наем (руб.);</w:t>
      </w:r>
    </w:p>
    <w:p w:rsidR="00AD36F7" w:rsidRPr="00AD36F7" w:rsidRDefault="00AD36F7" w:rsidP="00AD36F7">
      <w:pPr>
        <w:pStyle w:val="ConsPlusNonformat"/>
        <w:rPr>
          <w:rFonts w:ascii="Times New Roman" w:hAnsi="Times New Roman" w:cs="Times New Roman"/>
        </w:rPr>
      </w:pPr>
      <w:r w:rsidRPr="00AD36F7">
        <w:rPr>
          <w:rFonts w:ascii="Times New Roman" w:hAnsi="Times New Roman" w:cs="Times New Roman"/>
        </w:rPr>
        <w:t xml:space="preserve">     Н </w:t>
      </w:r>
      <w:r w:rsidRPr="00AD36F7">
        <w:rPr>
          <w:rFonts w:ascii="Times New Roman" w:hAnsi="Times New Roman" w:cs="Times New Roman"/>
          <w:vertAlign w:val="subscript"/>
        </w:rPr>
        <w:t xml:space="preserve">б </w:t>
      </w:r>
      <w:r w:rsidRPr="00AD36F7">
        <w:rPr>
          <w:rFonts w:ascii="Times New Roman" w:hAnsi="Times New Roman" w:cs="Times New Roman"/>
        </w:rPr>
        <w:t>- базовая ставка платы  за  наем  в расчете 1 кв. м в месяц (руб.);</w:t>
      </w:r>
    </w:p>
    <w:p w:rsidR="00AD36F7" w:rsidRPr="00AD36F7" w:rsidRDefault="00AD36F7" w:rsidP="00AD36F7">
      <w:pPr>
        <w:pStyle w:val="ConsPlusNonformat"/>
        <w:jc w:val="both"/>
        <w:rPr>
          <w:rFonts w:ascii="Times New Roman" w:hAnsi="Times New Roman" w:cs="Times New Roman"/>
        </w:rPr>
      </w:pPr>
      <w:r w:rsidRPr="00AD36F7">
        <w:rPr>
          <w:rFonts w:ascii="Times New Roman" w:hAnsi="Times New Roman" w:cs="Times New Roman"/>
        </w:rPr>
        <w:t xml:space="preserve">     </w:t>
      </w:r>
      <w:proofErr w:type="gramStart"/>
      <w:r w:rsidRPr="00AD36F7">
        <w:rPr>
          <w:rFonts w:ascii="Times New Roman" w:hAnsi="Times New Roman" w:cs="Times New Roman"/>
        </w:rPr>
        <w:t>К</w:t>
      </w:r>
      <w:proofErr w:type="gramEnd"/>
      <w:r w:rsidRPr="00AD36F7">
        <w:rPr>
          <w:rFonts w:ascii="Times New Roman" w:hAnsi="Times New Roman" w:cs="Times New Roman"/>
        </w:rPr>
        <w:t xml:space="preserve"> - корректирующие коэффициенты;</w:t>
      </w:r>
    </w:p>
    <w:p w:rsidR="00AD36F7" w:rsidRPr="00AD36F7" w:rsidRDefault="00AD36F7" w:rsidP="00AD36F7">
      <w:pPr>
        <w:pStyle w:val="ConsPlusNormal"/>
        <w:jc w:val="both"/>
        <w:rPr>
          <w:rFonts w:ascii="Times New Roman" w:hAnsi="Times New Roman" w:cs="Times New Roman"/>
        </w:rPr>
      </w:pPr>
      <w:r w:rsidRPr="00AD36F7">
        <w:rPr>
          <w:rFonts w:ascii="Times New Roman" w:hAnsi="Times New Roman" w:cs="Times New Roman"/>
        </w:rPr>
        <w:t xml:space="preserve">     S - расчетная площадь жилого помещения (кв. м).</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Расчет платы за наем отдельных квартир производится исходя из общей площади занимаемой квартиры.</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Расчет платы за наем отдельных комнат в общежитиях производится исходя из жилой площади комнат.</w:t>
      </w:r>
    </w:p>
    <w:p w:rsidR="00AD36F7" w:rsidRPr="00AD36F7" w:rsidRDefault="00AD36F7" w:rsidP="00AD36F7">
      <w:pPr>
        <w:pStyle w:val="ConsPlusNormal"/>
        <w:ind w:firstLine="540"/>
        <w:jc w:val="both"/>
        <w:rPr>
          <w:rFonts w:ascii="Times New Roman" w:hAnsi="Times New Roman" w:cs="Times New Roman"/>
        </w:rPr>
      </w:pPr>
      <w:r w:rsidRPr="00AD36F7">
        <w:rPr>
          <w:rFonts w:ascii="Times New Roman" w:hAnsi="Times New Roman" w:cs="Times New Roman"/>
        </w:rPr>
        <w:t>Размер платы за наем жилого помещения может устанавливаться с учетом коэффициента инфляции, установленного Министерством регионального развития Российской Федерации к ставке платы за наем, утвержденной постановлением главы МО «</w:t>
      </w:r>
      <w:proofErr w:type="spellStart"/>
      <w:r w:rsidRPr="00AD36F7">
        <w:rPr>
          <w:rFonts w:ascii="Times New Roman" w:hAnsi="Times New Roman" w:cs="Times New Roman"/>
        </w:rPr>
        <w:t>Новонукутское</w:t>
      </w:r>
      <w:proofErr w:type="spellEnd"/>
      <w:r w:rsidRPr="00AD36F7">
        <w:rPr>
          <w:rFonts w:ascii="Times New Roman" w:hAnsi="Times New Roman" w:cs="Times New Roman"/>
        </w:rPr>
        <w:t>» на предыдущий год.</w:t>
      </w:r>
    </w:p>
    <w:p w:rsidR="00AD36F7" w:rsidRPr="00AD36F7" w:rsidRDefault="00AD36F7" w:rsidP="00AD36F7">
      <w:pPr>
        <w:autoSpaceDE w:val="0"/>
        <w:autoSpaceDN w:val="0"/>
        <w:adjustRightInd w:val="0"/>
        <w:ind w:firstLine="600"/>
        <w:jc w:val="center"/>
        <w:outlineLvl w:val="0"/>
        <w:rPr>
          <w:b/>
          <w:sz w:val="20"/>
          <w:szCs w:val="20"/>
        </w:rPr>
      </w:pPr>
      <w:r w:rsidRPr="00AD36F7">
        <w:rPr>
          <w:b/>
          <w:sz w:val="20"/>
          <w:szCs w:val="20"/>
        </w:rPr>
        <w:t>3. Порядок внесения платы за наем</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3.1. 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 xml:space="preserve">3.2.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 </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 xml:space="preserve">3.3. </w:t>
      </w:r>
      <w:proofErr w:type="gramStart"/>
      <w:r w:rsidRPr="00AD36F7">
        <w:rPr>
          <w:sz w:val="20"/>
          <w:szCs w:val="20"/>
        </w:rPr>
        <w:t>Граждане, несвоевременно и (или) не полностью внесшие плату за наем жилого помещения (должники), обязаны уплачивать кредитору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D36F7" w:rsidRPr="00AD36F7" w:rsidRDefault="00AD36F7" w:rsidP="00AD36F7">
      <w:pPr>
        <w:autoSpaceDE w:val="0"/>
        <w:autoSpaceDN w:val="0"/>
        <w:adjustRightInd w:val="0"/>
        <w:ind w:firstLine="600"/>
        <w:jc w:val="center"/>
        <w:outlineLvl w:val="0"/>
        <w:rPr>
          <w:b/>
          <w:sz w:val="20"/>
          <w:szCs w:val="20"/>
        </w:rPr>
      </w:pPr>
      <w:r w:rsidRPr="00AD36F7">
        <w:rPr>
          <w:sz w:val="20"/>
          <w:szCs w:val="20"/>
        </w:rPr>
        <w:t xml:space="preserve">   </w:t>
      </w:r>
      <w:r w:rsidRPr="00AD36F7">
        <w:rPr>
          <w:b/>
          <w:sz w:val="20"/>
          <w:szCs w:val="20"/>
        </w:rPr>
        <w:t>     4. Поступление и целевое использование средств</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4.1. Начисление и сбор платы за наем осуществляется организацией, уполномоченной собственником жилого помещения собирать с населения плату за жилое помещение и коммунальные услуги.</w:t>
      </w:r>
    </w:p>
    <w:p w:rsidR="00AD36F7" w:rsidRPr="00AD36F7" w:rsidRDefault="00AD36F7" w:rsidP="00AD36F7">
      <w:pPr>
        <w:autoSpaceDE w:val="0"/>
        <w:autoSpaceDN w:val="0"/>
        <w:adjustRightInd w:val="0"/>
        <w:ind w:firstLine="600"/>
        <w:jc w:val="both"/>
        <w:outlineLvl w:val="0"/>
        <w:rPr>
          <w:sz w:val="20"/>
          <w:szCs w:val="20"/>
        </w:rPr>
      </w:pPr>
      <w:r w:rsidRPr="00AD36F7">
        <w:rPr>
          <w:sz w:val="20"/>
          <w:szCs w:val="20"/>
        </w:rPr>
        <w:t>4.2. Денежные средства, вносимые нанимателем жилого помещения в виде платы за наем, используются по целевому назначению на проведение капитального ремонта, реконструкцию и модернизацию жилого дома.</w:t>
      </w:r>
    </w:p>
    <w:p w:rsidR="00AD36F7" w:rsidRPr="00AD36F7" w:rsidRDefault="00AD36F7" w:rsidP="00AD36F7">
      <w:pPr>
        <w:autoSpaceDE w:val="0"/>
        <w:autoSpaceDN w:val="0"/>
        <w:adjustRightInd w:val="0"/>
        <w:ind w:firstLine="600"/>
        <w:jc w:val="both"/>
        <w:outlineLvl w:val="0"/>
        <w:rPr>
          <w:bCs/>
          <w:sz w:val="20"/>
          <w:szCs w:val="20"/>
        </w:rPr>
      </w:pPr>
      <w:r w:rsidRPr="00AD36F7">
        <w:rPr>
          <w:bCs/>
          <w:sz w:val="20"/>
          <w:szCs w:val="20"/>
        </w:rPr>
        <w:t xml:space="preserve">                    </w:t>
      </w:r>
    </w:p>
    <w:p w:rsidR="007E3722" w:rsidRDefault="007E3722" w:rsidP="00D81315"/>
    <w:p w:rsidR="004F5F4B" w:rsidRPr="00527606" w:rsidRDefault="000034A7"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0034A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0034A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5D9" w:rsidRDefault="002E55D9" w:rsidP="007F0A9D">
      <w:r>
        <w:separator/>
      </w:r>
    </w:p>
  </w:endnote>
  <w:endnote w:type="continuationSeparator" w:id="0">
    <w:p w:rsidR="002E55D9" w:rsidRDefault="002E55D9"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5D9" w:rsidRDefault="002E55D9" w:rsidP="007F0A9D">
      <w:r>
        <w:separator/>
      </w:r>
    </w:p>
  </w:footnote>
  <w:footnote w:type="continuationSeparator" w:id="0">
    <w:p w:rsidR="002E55D9" w:rsidRDefault="002E55D9"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0034A7"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6"/>
  </w:num>
  <w:num w:numId="7">
    <w:abstractNumId w:val="10"/>
  </w:num>
  <w:num w:numId="8">
    <w:abstractNumId w:val="19"/>
  </w:num>
  <w:num w:numId="9">
    <w:abstractNumId w:val="30"/>
  </w:num>
  <w:num w:numId="10">
    <w:abstractNumId w:val="49"/>
  </w:num>
  <w:num w:numId="11">
    <w:abstractNumId w:val="50"/>
  </w:num>
  <w:num w:numId="12">
    <w:abstractNumId w:val="48"/>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1"/>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2"/>
  </w:num>
  <w:num w:numId="30">
    <w:abstractNumId w:val="40"/>
  </w:num>
  <w:num w:numId="31">
    <w:abstractNumId w:val="57"/>
  </w:num>
  <w:num w:numId="32">
    <w:abstractNumId w:val="6"/>
  </w:num>
  <w:num w:numId="33">
    <w:abstractNumId w:val="42"/>
  </w:num>
  <w:num w:numId="34">
    <w:abstractNumId w:val="46"/>
  </w:num>
  <w:num w:numId="35">
    <w:abstractNumId w:val="53"/>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4"/>
  </w:num>
  <w:num w:numId="44">
    <w:abstractNumId w:val="55"/>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871ED"/>
    <w:rsid w:val="000A20D8"/>
    <w:rsid w:val="000C4C08"/>
    <w:rsid w:val="000E74FA"/>
    <w:rsid w:val="001366D7"/>
    <w:rsid w:val="00140CA6"/>
    <w:rsid w:val="0015271C"/>
    <w:rsid w:val="00187530"/>
    <w:rsid w:val="0019139B"/>
    <w:rsid w:val="001951E3"/>
    <w:rsid w:val="001B08CC"/>
    <w:rsid w:val="001C074B"/>
    <w:rsid w:val="001C0A2E"/>
    <w:rsid w:val="001C67E5"/>
    <w:rsid w:val="001E0B36"/>
    <w:rsid w:val="001F04AC"/>
    <w:rsid w:val="0020269D"/>
    <w:rsid w:val="0020317C"/>
    <w:rsid w:val="0021663D"/>
    <w:rsid w:val="00217922"/>
    <w:rsid w:val="00223A8D"/>
    <w:rsid w:val="00245DDB"/>
    <w:rsid w:val="00264C4C"/>
    <w:rsid w:val="002810B7"/>
    <w:rsid w:val="00283525"/>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A7668"/>
    <w:rsid w:val="003B1791"/>
    <w:rsid w:val="003B2056"/>
    <w:rsid w:val="003C47DA"/>
    <w:rsid w:val="003E58BD"/>
    <w:rsid w:val="00425229"/>
    <w:rsid w:val="004265B8"/>
    <w:rsid w:val="004305AC"/>
    <w:rsid w:val="00463ED1"/>
    <w:rsid w:val="004712EC"/>
    <w:rsid w:val="00480442"/>
    <w:rsid w:val="004B19B2"/>
    <w:rsid w:val="004F5F4B"/>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B634B"/>
    <w:rsid w:val="005B6A57"/>
    <w:rsid w:val="005E5CC6"/>
    <w:rsid w:val="005F53EF"/>
    <w:rsid w:val="0061237D"/>
    <w:rsid w:val="00617BCD"/>
    <w:rsid w:val="00645F8C"/>
    <w:rsid w:val="00661F96"/>
    <w:rsid w:val="00666403"/>
    <w:rsid w:val="006714CB"/>
    <w:rsid w:val="00697B9D"/>
    <w:rsid w:val="006A1893"/>
    <w:rsid w:val="006B2336"/>
    <w:rsid w:val="006B615A"/>
    <w:rsid w:val="006B7223"/>
    <w:rsid w:val="006D1392"/>
    <w:rsid w:val="006D5D24"/>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F0A9D"/>
    <w:rsid w:val="007F39F6"/>
    <w:rsid w:val="007F5D92"/>
    <w:rsid w:val="007F6606"/>
    <w:rsid w:val="007F67E3"/>
    <w:rsid w:val="0082159B"/>
    <w:rsid w:val="0084451A"/>
    <w:rsid w:val="008B1C7F"/>
    <w:rsid w:val="008C0C7C"/>
    <w:rsid w:val="008D6AB6"/>
    <w:rsid w:val="00903820"/>
    <w:rsid w:val="0091045A"/>
    <w:rsid w:val="009148AC"/>
    <w:rsid w:val="00921C7B"/>
    <w:rsid w:val="00945CFF"/>
    <w:rsid w:val="00946526"/>
    <w:rsid w:val="00952061"/>
    <w:rsid w:val="00994929"/>
    <w:rsid w:val="009A37BB"/>
    <w:rsid w:val="009A608E"/>
    <w:rsid w:val="009B7B62"/>
    <w:rsid w:val="009E1CCB"/>
    <w:rsid w:val="009F13A2"/>
    <w:rsid w:val="00A232DA"/>
    <w:rsid w:val="00A26083"/>
    <w:rsid w:val="00A3252D"/>
    <w:rsid w:val="00A546C6"/>
    <w:rsid w:val="00A92DD5"/>
    <w:rsid w:val="00A9515A"/>
    <w:rsid w:val="00AB315D"/>
    <w:rsid w:val="00AC4AF2"/>
    <w:rsid w:val="00AD36F7"/>
    <w:rsid w:val="00AE7B02"/>
    <w:rsid w:val="00AF552C"/>
    <w:rsid w:val="00B52028"/>
    <w:rsid w:val="00B5770A"/>
    <w:rsid w:val="00B74951"/>
    <w:rsid w:val="00B853F0"/>
    <w:rsid w:val="00B87072"/>
    <w:rsid w:val="00BA2039"/>
    <w:rsid w:val="00BA7DBB"/>
    <w:rsid w:val="00BD36AB"/>
    <w:rsid w:val="00BE1242"/>
    <w:rsid w:val="00BE1F01"/>
    <w:rsid w:val="00BF10D0"/>
    <w:rsid w:val="00C01EF2"/>
    <w:rsid w:val="00C14308"/>
    <w:rsid w:val="00C161E5"/>
    <w:rsid w:val="00C16D66"/>
    <w:rsid w:val="00C20205"/>
    <w:rsid w:val="00C25C82"/>
    <w:rsid w:val="00C35F8C"/>
    <w:rsid w:val="00C77257"/>
    <w:rsid w:val="00C860D3"/>
    <w:rsid w:val="00C875C1"/>
    <w:rsid w:val="00CA162C"/>
    <w:rsid w:val="00CA223B"/>
    <w:rsid w:val="00CA3441"/>
    <w:rsid w:val="00CB125E"/>
    <w:rsid w:val="00CE1485"/>
    <w:rsid w:val="00CE4FB5"/>
    <w:rsid w:val="00D357EF"/>
    <w:rsid w:val="00D45682"/>
    <w:rsid w:val="00D50905"/>
    <w:rsid w:val="00D5098A"/>
    <w:rsid w:val="00D654FE"/>
    <w:rsid w:val="00D66898"/>
    <w:rsid w:val="00D72743"/>
    <w:rsid w:val="00D80644"/>
    <w:rsid w:val="00D81315"/>
    <w:rsid w:val="00D9133C"/>
    <w:rsid w:val="00DA1FAD"/>
    <w:rsid w:val="00DB2071"/>
    <w:rsid w:val="00DC1C7E"/>
    <w:rsid w:val="00DC4529"/>
    <w:rsid w:val="00DD712E"/>
    <w:rsid w:val="00DD7763"/>
    <w:rsid w:val="00DE175D"/>
    <w:rsid w:val="00DF3C5F"/>
    <w:rsid w:val="00E5720D"/>
    <w:rsid w:val="00E65671"/>
    <w:rsid w:val="00E907E3"/>
    <w:rsid w:val="00E9147E"/>
    <w:rsid w:val="00EB11CD"/>
    <w:rsid w:val="00EB200E"/>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D7C87-2361-420A-8C79-FB30B13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1859</Words>
  <Characters>10600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2015-12-21T02:26:00Z</cp:lastPrinted>
  <dcterms:created xsi:type="dcterms:W3CDTF">2015-11-03T08:30:00Z</dcterms:created>
  <dcterms:modified xsi:type="dcterms:W3CDTF">2015-12-21T02:27:00Z</dcterms:modified>
</cp:coreProperties>
</file>